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4548446"/>
    <w:bookmarkStart w:id="1" w:name="_GoBack"/>
    <w:bookmarkEnd w:id="1"/>
    <w:p w14:paraId="571DDD26" w14:textId="77777777" w:rsidR="00612977" w:rsidRDefault="007B2DDF">
      <w:pPr>
        <w:rPr>
          <w:rFonts w:ascii="Trebuchet MS" w:hAnsi="Trebuchet MS"/>
          <w:lang w:val="en-AU"/>
        </w:rPr>
        <w:sectPr w:rsidR="00612977" w:rsidSect="007B2DDF">
          <w:headerReference w:type="even" r:id="rId11"/>
          <w:headerReference w:type="default" r:id="rId12"/>
          <w:footerReference w:type="even" r:id="rId13"/>
          <w:footerReference w:type="default" r:id="rId14"/>
          <w:headerReference w:type="first" r:id="rId15"/>
          <w:pgSz w:w="16840" w:h="11907" w:orient="landscape" w:code="9"/>
          <w:pgMar w:top="1701" w:right="1985" w:bottom="1701" w:left="1843" w:header="720" w:footer="990" w:gutter="0"/>
          <w:pgNumType w:start="1"/>
          <w:cols w:space="720"/>
          <w:docGrid w:linePitch="360"/>
        </w:sectPr>
      </w:pPr>
      <w:r w:rsidRPr="00E672A8">
        <w:rPr>
          <w:rFonts w:ascii="Trebuchet MS" w:hAnsi="Trebuchet MS"/>
          <w:noProof/>
          <w:lang w:eastAsia="en-NZ"/>
        </w:rPr>
        <mc:AlternateContent>
          <mc:Choice Requires="wps">
            <w:drawing>
              <wp:anchor distT="0" distB="0" distL="114300" distR="114300" simplePos="0" relativeHeight="251655168" behindDoc="0" locked="0" layoutInCell="1" allowOverlap="1" wp14:anchorId="6DF5EF4E" wp14:editId="0EEA7EBF">
                <wp:simplePos x="0" y="0"/>
                <wp:positionH relativeFrom="margin">
                  <wp:posOffset>-328295</wp:posOffset>
                </wp:positionH>
                <wp:positionV relativeFrom="margin">
                  <wp:align>center</wp:align>
                </wp:positionV>
                <wp:extent cx="4259580" cy="2861953"/>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861953"/>
                        </a:xfrm>
                        <a:prstGeom prst="rect">
                          <a:avLst/>
                        </a:prstGeom>
                        <a:noFill/>
                        <a:ln>
                          <a:noFill/>
                        </a:ln>
                        <a:extLst>
                          <a:ext uri="{909E8E84-426E-40DD-AFC4-6F175D3DCCD1}">
                            <a14:hiddenFill xmlns:a14="http://schemas.microsoft.com/office/drawing/2010/main">
                              <a:solidFill>
                                <a:srgbClr val="000000">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AE2C" w14:textId="77777777" w:rsidR="0098036B" w:rsidRPr="00660704" w:rsidRDefault="0098036B" w:rsidP="0098036B">
                            <w:pPr>
                              <w:pStyle w:val="FrontPageText"/>
                              <w:rPr>
                                <w:sz w:val="72"/>
                              </w:rPr>
                            </w:pPr>
                            <w:r>
                              <w:rPr>
                                <w:sz w:val="72"/>
                              </w:rPr>
                              <w:t>Lyall Bay School</w:t>
                            </w:r>
                          </w:p>
                          <w:p w14:paraId="35C8B567" w14:textId="77777777" w:rsidR="00851D7C" w:rsidRDefault="00652063" w:rsidP="00DC176C">
                            <w:pPr>
                              <w:pStyle w:val="FrontPageText"/>
                              <w:rPr>
                                <w:sz w:val="44"/>
                                <w:szCs w:val="28"/>
                              </w:rPr>
                            </w:pPr>
                            <w:r>
                              <w:rPr>
                                <w:sz w:val="44"/>
                                <w:szCs w:val="28"/>
                              </w:rPr>
                              <w:t>AUDIT COMPLETION REPORT</w:t>
                            </w:r>
                          </w:p>
                          <w:p w14:paraId="6FE3F799" w14:textId="77777777" w:rsidR="007B2DDF" w:rsidRPr="007B2DDF" w:rsidRDefault="007B2DDF" w:rsidP="007B2DDF">
                            <w:pPr>
                              <w:rPr>
                                <w:color w:val="FFFFFF" w:themeColor="background1"/>
                                <w:sz w:val="32"/>
                                <w:szCs w:val="28"/>
                              </w:rPr>
                            </w:pPr>
                            <w:r w:rsidRPr="007B2DDF">
                              <w:rPr>
                                <w:color w:val="FFFFFF" w:themeColor="background1"/>
                                <w:sz w:val="32"/>
                                <w:szCs w:val="28"/>
                              </w:rPr>
                              <w:t xml:space="preserve">FOR </w:t>
                            </w:r>
                            <w:r w:rsidRPr="00660704">
                              <w:rPr>
                                <w:color w:val="FFFFFF" w:themeColor="background1"/>
                                <w:sz w:val="32"/>
                                <w:szCs w:val="28"/>
                              </w:rPr>
                              <w:t xml:space="preserve">THE </w:t>
                            </w:r>
                            <w:r w:rsidR="00660704" w:rsidRPr="00660704">
                              <w:rPr>
                                <w:color w:val="FFFFFF" w:themeColor="background1"/>
                                <w:sz w:val="32"/>
                                <w:szCs w:val="28"/>
                              </w:rPr>
                              <w:t>YEAR</w:t>
                            </w:r>
                            <w:r w:rsidRPr="00660704">
                              <w:rPr>
                                <w:color w:val="FFFFFF" w:themeColor="background1"/>
                                <w:sz w:val="32"/>
                                <w:szCs w:val="28"/>
                              </w:rPr>
                              <w:t xml:space="preserve"> ENDED</w:t>
                            </w:r>
                          </w:p>
                          <w:p w14:paraId="179E97DA" w14:textId="31936413" w:rsidR="007B2DDF" w:rsidRPr="007B2DDF" w:rsidRDefault="00E95478" w:rsidP="007B2DDF">
                            <w:pPr>
                              <w:rPr>
                                <w:color w:val="FFFFFF" w:themeColor="background1"/>
                                <w:sz w:val="72"/>
                                <w:szCs w:val="148"/>
                              </w:rPr>
                            </w:pPr>
                            <w:r w:rsidRPr="002F5919">
                              <w:rPr>
                                <w:color w:val="FFFFFF" w:themeColor="background1"/>
                                <w:sz w:val="72"/>
                                <w:szCs w:val="148"/>
                              </w:rPr>
                              <w:t>31 December 201</w:t>
                            </w:r>
                            <w:r w:rsidR="0098036B">
                              <w:rPr>
                                <w:color w:val="FFFFFF" w:themeColor="background1"/>
                                <w:sz w:val="72"/>
                                <w:szCs w:val="1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F5EF4E" id="_x0000_t202" coordsize="21600,21600" o:spt="202" path="m,l,21600r21600,l21600,xe">
                <v:stroke joinstyle="miter"/>
                <v:path gradientshapeok="t" o:connecttype="rect"/>
              </v:shapetype>
              <v:shape id="Text Box 7" o:spid="_x0000_s1026" type="#_x0000_t202" style="position:absolute;margin-left:-25.85pt;margin-top:0;width:335.4pt;height:225.35pt;z-index:25165516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Zp8wEAAMcDAAAOAAAAZHJzL2Uyb0RvYy54bWysU9tu2zAMfR+wfxD0vjjxkjYx4hRdiw4D&#10;ugvQ7gMYWY6F2aJGKbGzrx8lp1m2vQ17EcSLDg8PqfXN0LXioMkbtKWcTaZSaKuwMnZXyq/PD2+W&#10;UvgAtoIWrS7lUXt5s3n9at27QufYYFtpEgxifdG7UjYhuCLLvGp0B36CTlsO1kgdBDZpl1UEPaN3&#10;bZZPp1dZj1Q5QqW9Z+/9GJSbhF/XWoXPde11EG0pmVtIJ6VzG89ss4ZiR+Aao0404B9YdGAsFz1D&#10;3UMAsSfzF1RnFKHHOkwUdhnWtVE69cDdzKZ/dPPUgNOpFxbHu7NM/v/Bqk+HLyRMVcpcCgsdj+hZ&#10;D0G8w0FcR3V65wtOenKcFgZ285RTp949ovrmhcW7BuxO3xJh32iomN0svswuno44PoJs+49YcRnY&#10;B0xAQ01dlI7FEIzOUzqeJxOpKHbO88VqseSQ4li+vJqtFm9TDShenjvy4b3GTsRLKYlHn+Dh8OhD&#10;pAPFS0qsZvHBtG0af2t/c3Bi9CT6kfHIPQzb4STHFqsjN0I4bhNvP18apB9S9LxJpfTf90BaivaD&#10;ZTFWs/k8rl4y5ovrnA26jGwvI2AVQ5UySDFe78K4rntHZtdwpVF+i7csYG1Sa1HpkdWJN29L6vi0&#10;2XEdL+2U9ev/bX4CAAD//wMAUEsDBBQABgAIAAAAIQBPcGUv4QAAAAgBAAAPAAAAZHJzL2Rvd25y&#10;ZXYueG1sTI/NTsMwEITvSLyDtUjcWieBpiXEqfhRRQ+VECmIqxsvSUS8TmO3DTw9ywmOoxnNfJMv&#10;R9uJIw6+daQgnkYgkCpnWqoVvG5XkwUIHzQZ3TlCBV/oYVmcn+U6M+5EL3gsQy24hHymFTQh9JmU&#10;vmrQaj91PRJ7H26wOrAcamkGfeJy28kkilJpdUu80OgeHxqsPsuDVXCfrJ42/X6zrq9Sk+D72+O+&#10;fP5W6vJivLsFEXAMf2H4xWd0KJhp5w5kvOgUTGbxnKMK+BHbaXwTg9gpuJ5Fc5BFLv8fKH4AAAD/&#10;/wMAUEsBAi0AFAAGAAgAAAAhALaDOJL+AAAA4QEAABMAAAAAAAAAAAAAAAAAAAAAAFtDb250ZW50&#10;X1R5cGVzXS54bWxQSwECLQAUAAYACAAAACEAOP0h/9YAAACUAQAACwAAAAAAAAAAAAAAAAAvAQAA&#10;X3JlbHMvLnJlbHNQSwECLQAUAAYACAAAACEAQzGmafMBAADHAwAADgAAAAAAAAAAAAAAAAAuAgAA&#10;ZHJzL2Uyb0RvYy54bWxQSwECLQAUAAYACAAAACEAT3BlL+EAAAAIAQAADwAAAAAAAAAAAAAAAABN&#10;BAAAZHJzL2Rvd25yZXYueG1sUEsFBgAAAAAEAAQA8wAAAFsFAAAAAA==&#10;" filled="f" fillcolor="black" stroked="f">
                <v:fill opacity="39321f"/>
                <v:textbox>
                  <w:txbxContent>
                    <w:p w14:paraId="32BFAE2C" w14:textId="77777777" w:rsidR="0098036B" w:rsidRPr="00660704" w:rsidRDefault="0098036B" w:rsidP="0098036B">
                      <w:pPr>
                        <w:pStyle w:val="FrontPageText"/>
                        <w:rPr>
                          <w:sz w:val="72"/>
                        </w:rPr>
                      </w:pPr>
                      <w:r>
                        <w:rPr>
                          <w:sz w:val="72"/>
                        </w:rPr>
                        <w:t>Lyall Bay School</w:t>
                      </w:r>
                    </w:p>
                    <w:p w14:paraId="35C8B567" w14:textId="77777777" w:rsidR="00851D7C" w:rsidRDefault="00652063" w:rsidP="00DC176C">
                      <w:pPr>
                        <w:pStyle w:val="FrontPageText"/>
                        <w:rPr>
                          <w:sz w:val="44"/>
                          <w:szCs w:val="28"/>
                        </w:rPr>
                      </w:pPr>
                      <w:r>
                        <w:rPr>
                          <w:sz w:val="44"/>
                          <w:szCs w:val="28"/>
                        </w:rPr>
                        <w:t>AUDIT COMPLETION REPORT</w:t>
                      </w:r>
                    </w:p>
                    <w:p w14:paraId="6FE3F799" w14:textId="77777777" w:rsidR="007B2DDF" w:rsidRPr="007B2DDF" w:rsidRDefault="007B2DDF" w:rsidP="007B2DDF">
                      <w:pPr>
                        <w:rPr>
                          <w:color w:val="FFFFFF" w:themeColor="background1"/>
                          <w:sz w:val="32"/>
                          <w:szCs w:val="28"/>
                        </w:rPr>
                      </w:pPr>
                      <w:r w:rsidRPr="007B2DDF">
                        <w:rPr>
                          <w:color w:val="FFFFFF" w:themeColor="background1"/>
                          <w:sz w:val="32"/>
                          <w:szCs w:val="28"/>
                        </w:rPr>
                        <w:t xml:space="preserve">FOR </w:t>
                      </w:r>
                      <w:r w:rsidRPr="00660704">
                        <w:rPr>
                          <w:color w:val="FFFFFF" w:themeColor="background1"/>
                          <w:sz w:val="32"/>
                          <w:szCs w:val="28"/>
                        </w:rPr>
                        <w:t xml:space="preserve">THE </w:t>
                      </w:r>
                      <w:r w:rsidR="00660704" w:rsidRPr="00660704">
                        <w:rPr>
                          <w:color w:val="FFFFFF" w:themeColor="background1"/>
                          <w:sz w:val="32"/>
                          <w:szCs w:val="28"/>
                        </w:rPr>
                        <w:t>YEAR</w:t>
                      </w:r>
                      <w:r w:rsidRPr="00660704">
                        <w:rPr>
                          <w:color w:val="FFFFFF" w:themeColor="background1"/>
                          <w:sz w:val="32"/>
                          <w:szCs w:val="28"/>
                        </w:rPr>
                        <w:t xml:space="preserve"> ENDED</w:t>
                      </w:r>
                    </w:p>
                    <w:p w14:paraId="179E97DA" w14:textId="31936413" w:rsidR="007B2DDF" w:rsidRPr="007B2DDF" w:rsidRDefault="00E95478" w:rsidP="007B2DDF">
                      <w:pPr>
                        <w:rPr>
                          <w:color w:val="FFFFFF" w:themeColor="background1"/>
                          <w:sz w:val="72"/>
                          <w:szCs w:val="148"/>
                        </w:rPr>
                      </w:pPr>
                      <w:r w:rsidRPr="002F5919">
                        <w:rPr>
                          <w:color w:val="FFFFFF" w:themeColor="background1"/>
                          <w:sz w:val="72"/>
                          <w:szCs w:val="148"/>
                        </w:rPr>
                        <w:t>31 December 201</w:t>
                      </w:r>
                      <w:r w:rsidR="0098036B">
                        <w:rPr>
                          <w:color w:val="FFFFFF" w:themeColor="background1"/>
                          <w:sz w:val="72"/>
                          <w:szCs w:val="148"/>
                        </w:rPr>
                        <w:t>9</w:t>
                      </w:r>
                    </w:p>
                  </w:txbxContent>
                </v:textbox>
                <w10:wrap anchorx="margin" anchory="margin"/>
              </v:shape>
            </w:pict>
          </mc:Fallback>
        </mc:AlternateContent>
      </w:r>
    </w:p>
    <w:p w14:paraId="2FB9E31B" w14:textId="51B19D3C" w:rsidR="00E672A8" w:rsidRPr="00A25AA8" w:rsidRDefault="003F7898" w:rsidP="00493AB4">
      <w:pPr>
        <w:pStyle w:val="CoverPageText"/>
      </w:pPr>
      <w:r w:rsidRPr="00A25AA8">
        <w:lastRenderedPageBreak/>
        <w:fldChar w:fldCharType="begin"/>
      </w:r>
      <w:r w:rsidRPr="00A25AA8">
        <w:instrText xml:space="preserve"> DATE \@ "d MMMM yyyy" </w:instrText>
      </w:r>
      <w:r w:rsidRPr="00A25AA8">
        <w:fldChar w:fldCharType="separate"/>
      </w:r>
      <w:r w:rsidR="00CC4910">
        <w:rPr>
          <w:noProof/>
        </w:rPr>
        <w:t>29 May 2020</w:t>
      </w:r>
      <w:r w:rsidRPr="00A25AA8">
        <w:fldChar w:fldCharType="end"/>
      </w:r>
    </w:p>
    <w:p w14:paraId="094A56A8" w14:textId="77777777" w:rsidR="003F7898" w:rsidRPr="00A25AA8" w:rsidRDefault="003F7898" w:rsidP="00493AB4">
      <w:pPr>
        <w:pStyle w:val="CoverPageText"/>
      </w:pPr>
    </w:p>
    <w:p w14:paraId="03EB2854" w14:textId="3CE260A6" w:rsidR="00E672A8" w:rsidRPr="00A25AA8" w:rsidRDefault="0098036B" w:rsidP="00493AB4">
      <w:pPr>
        <w:pStyle w:val="CoverPageText"/>
      </w:pPr>
      <w:r>
        <w:t>Lloyd Percival</w:t>
      </w:r>
    </w:p>
    <w:p w14:paraId="6F76C1F4" w14:textId="77777777" w:rsidR="00E672A8" w:rsidRPr="00A25AA8" w:rsidRDefault="00660704" w:rsidP="00493AB4">
      <w:pPr>
        <w:pStyle w:val="CoverPageText"/>
      </w:pPr>
      <w:r w:rsidRPr="00A25AA8">
        <w:t>Chairperson</w:t>
      </w:r>
    </w:p>
    <w:p w14:paraId="39FBAA9F" w14:textId="2D0614F9" w:rsidR="00664E6D" w:rsidRPr="0098036B" w:rsidRDefault="0098036B" w:rsidP="00493AB4">
      <w:pPr>
        <w:pStyle w:val="CoverPageText"/>
      </w:pPr>
      <w:r w:rsidRPr="0098036B">
        <w:t>Lyall Bay School</w:t>
      </w:r>
    </w:p>
    <w:p w14:paraId="121CBA2C" w14:textId="77777777" w:rsidR="00C54428" w:rsidRPr="00A25AA8" w:rsidRDefault="00C54428" w:rsidP="00493AB4">
      <w:pPr>
        <w:pStyle w:val="CoverPageText"/>
      </w:pPr>
    </w:p>
    <w:p w14:paraId="731EE819" w14:textId="76C23FAE" w:rsidR="00E672A8" w:rsidRPr="00A25AA8" w:rsidRDefault="00660704" w:rsidP="00493AB4">
      <w:pPr>
        <w:pStyle w:val="CoverPageText"/>
      </w:pPr>
      <w:r w:rsidRPr="00A25AA8">
        <w:t xml:space="preserve">cc: </w:t>
      </w:r>
      <w:r w:rsidRPr="00A25AA8">
        <w:tab/>
      </w:r>
      <w:r w:rsidR="0098036B">
        <w:t>Melanie Dean</w:t>
      </w:r>
    </w:p>
    <w:p w14:paraId="03BAF72E" w14:textId="77777777" w:rsidR="00660704" w:rsidRPr="00A25AA8" w:rsidRDefault="00660704" w:rsidP="00493AB4">
      <w:pPr>
        <w:pStyle w:val="CoverPageText"/>
      </w:pPr>
      <w:r w:rsidRPr="00A25AA8">
        <w:tab/>
        <w:t>Principal</w:t>
      </w:r>
    </w:p>
    <w:p w14:paraId="36A948FF" w14:textId="77777777" w:rsidR="00E672A8" w:rsidRPr="00A25AA8" w:rsidRDefault="00E672A8" w:rsidP="00493AB4">
      <w:pPr>
        <w:pStyle w:val="CoverPageText"/>
      </w:pPr>
    </w:p>
    <w:p w14:paraId="17623BB3" w14:textId="34CE566F" w:rsidR="00E672A8" w:rsidRPr="00A25AA8" w:rsidRDefault="00E672A8" w:rsidP="00493AB4">
      <w:pPr>
        <w:pStyle w:val="CoverPageText"/>
      </w:pPr>
      <w:r w:rsidRPr="00A25AA8">
        <w:t xml:space="preserve">Dear </w:t>
      </w:r>
      <w:r w:rsidR="0098036B">
        <w:t>Lloyd</w:t>
      </w:r>
    </w:p>
    <w:p w14:paraId="2E990C6F" w14:textId="77777777" w:rsidR="00E672A8" w:rsidRPr="00A25AA8" w:rsidRDefault="00E672A8" w:rsidP="00493AB4">
      <w:pPr>
        <w:pStyle w:val="CoverPageText"/>
      </w:pPr>
    </w:p>
    <w:p w14:paraId="407EBFF6" w14:textId="1AA0DB9A" w:rsidR="00E672A8" w:rsidRPr="00A25AA8" w:rsidRDefault="00E672A8" w:rsidP="00493AB4">
      <w:pPr>
        <w:pStyle w:val="CoverPageText"/>
        <w:rPr>
          <w:lang w:val="en-GB"/>
        </w:rPr>
      </w:pPr>
      <w:r w:rsidRPr="00A25AA8">
        <w:t xml:space="preserve">We have pleasure in presenting our </w:t>
      </w:r>
      <w:r w:rsidR="0059700E" w:rsidRPr="00A25AA8">
        <w:t>Audit Completion R</w:t>
      </w:r>
      <w:r w:rsidRPr="00A25AA8">
        <w:t xml:space="preserve">eport for our audit of </w:t>
      </w:r>
      <w:r w:rsidR="0098036B" w:rsidRPr="00A36A98">
        <w:t xml:space="preserve">Lyall Bay </w:t>
      </w:r>
      <w:r w:rsidR="000C3CFA" w:rsidRPr="00A25AA8">
        <w:t>School</w:t>
      </w:r>
      <w:r w:rsidR="003F7898" w:rsidRPr="00A25AA8">
        <w:t>’s</w:t>
      </w:r>
      <w:r w:rsidRPr="00A25AA8">
        <w:t xml:space="preserve"> financial statements for the </w:t>
      </w:r>
      <w:r w:rsidR="00364ED5" w:rsidRPr="00A25AA8">
        <w:t>year end</w:t>
      </w:r>
      <w:r w:rsidR="00364ED5" w:rsidRPr="008321B7">
        <w:t xml:space="preserve">ed </w:t>
      </w:r>
      <w:r w:rsidR="00660704" w:rsidRPr="008321B7">
        <w:t>31 December 201</w:t>
      </w:r>
      <w:r w:rsidR="0098036B">
        <w:t>9</w:t>
      </w:r>
      <w:r w:rsidRPr="008321B7">
        <w:t>.</w:t>
      </w:r>
    </w:p>
    <w:p w14:paraId="59971EB3" w14:textId="77777777" w:rsidR="00E672A8" w:rsidRPr="00A25AA8" w:rsidRDefault="00E672A8" w:rsidP="00493AB4">
      <w:pPr>
        <w:pStyle w:val="CoverPageText"/>
      </w:pPr>
    </w:p>
    <w:p w14:paraId="1581AD2B" w14:textId="77777777" w:rsidR="00E672A8" w:rsidRPr="00A25AA8" w:rsidRDefault="00E672A8" w:rsidP="00A25AA8">
      <w:pPr>
        <w:pStyle w:val="CoverPageText"/>
        <w:ind w:right="-171"/>
      </w:pPr>
      <w:r w:rsidRPr="00A25AA8">
        <w:t>We would like to emphasise that our audit work involves the review of only those systems and controls in your organisation upon which we rely on for audit purposes.</w:t>
      </w:r>
      <w:r w:rsidR="00664E6D" w:rsidRPr="00A25AA8">
        <w:t xml:space="preserve"> </w:t>
      </w:r>
      <w:r w:rsidRPr="00A25AA8">
        <w:t>Our examination may not have identified</w:t>
      </w:r>
      <w:r w:rsidR="00BB3EFB" w:rsidRPr="00A25AA8">
        <w:t>,</w:t>
      </w:r>
      <w:r w:rsidRPr="00A25AA8">
        <w:t xml:space="preserve"> and should not be relied upon to identify</w:t>
      </w:r>
      <w:r w:rsidR="00BB3EFB" w:rsidRPr="00A25AA8">
        <w:t>,</w:t>
      </w:r>
      <w:r w:rsidRPr="00A25AA8">
        <w:t xml:space="preserve"> all control weaknesses that </w:t>
      </w:r>
      <w:r w:rsidR="00BB3EFB" w:rsidRPr="00A25AA8">
        <w:t xml:space="preserve">may </w:t>
      </w:r>
      <w:r w:rsidRPr="00A25AA8">
        <w:t>exist.</w:t>
      </w:r>
    </w:p>
    <w:p w14:paraId="2ADD12EE" w14:textId="77777777" w:rsidR="00E672A8" w:rsidRPr="00A25AA8" w:rsidRDefault="00E672A8" w:rsidP="00493AB4">
      <w:pPr>
        <w:pStyle w:val="CoverPageText"/>
      </w:pPr>
    </w:p>
    <w:p w14:paraId="7E2BF2CC" w14:textId="77777777" w:rsidR="00E672A8" w:rsidRPr="00A25AA8" w:rsidRDefault="00E672A8" w:rsidP="00493AB4">
      <w:pPr>
        <w:pStyle w:val="CoverPageText"/>
      </w:pPr>
      <w:r w:rsidRPr="00A25AA8">
        <w:t>We take this opportunity to express our appreciation for the assistance a</w:t>
      </w:r>
      <w:r w:rsidR="00660704" w:rsidRPr="00A25AA8">
        <w:t xml:space="preserve">nd co-operation provided by the </w:t>
      </w:r>
      <w:r w:rsidR="000C3CFA" w:rsidRPr="00A25AA8">
        <w:t>School</w:t>
      </w:r>
      <w:r w:rsidR="00660704" w:rsidRPr="00A25AA8">
        <w:t>’s</w:t>
      </w:r>
      <w:r w:rsidRPr="00A25AA8">
        <w:t xml:space="preserve"> </w:t>
      </w:r>
      <w:r w:rsidR="00660704" w:rsidRPr="00A25AA8">
        <w:t>staff</w:t>
      </w:r>
      <w:r w:rsidRPr="00A25AA8">
        <w:t xml:space="preserve"> during the audit.</w:t>
      </w:r>
      <w:r w:rsidR="000C3CFA" w:rsidRPr="00A25AA8">
        <w:t xml:space="preserve"> We have received full and frank cooperation. There is nothing we wish to raise solely with the Board.</w:t>
      </w:r>
    </w:p>
    <w:p w14:paraId="770E811B" w14:textId="77777777" w:rsidR="00E672A8" w:rsidRPr="00A25AA8" w:rsidRDefault="00E672A8" w:rsidP="00493AB4">
      <w:pPr>
        <w:pStyle w:val="CoverPageText"/>
      </w:pPr>
    </w:p>
    <w:p w14:paraId="027BD289" w14:textId="77777777" w:rsidR="00E672A8" w:rsidRPr="00A25AA8" w:rsidRDefault="00E672A8" w:rsidP="00493AB4">
      <w:pPr>
        <w:pStyle w:val="CoverPageText"/>
      </w:pPr>
    </w:p>
    <w:p w14:paraId="634890A2" w14:textId="77777777" w:rsidR="00E672A8" w:rsidRPr="00A25AA8" w:rsidRDefault="00E672A8" w:rsidP="00493AB4">
      <w:pPr>
        <w:pStyle w:val="CoverPageText"/>
        <w:rPr>
          <w:lang w:val="en-GB"/>
        </w:rPr>
      </w:pPr>
      <w:r w:rsidRPr="00A25AA8">
        <w:t>Yours faithfully,</w:t>
      </w:r>
    </w:p>
    <w:p w14:paraId="71E17FE7" w14:textId="03CD773E" w:rsidR="00E672A8" w:rsidRPr="00A25AA8" w:rsidRDefault="0098036B" w:rsidP="00493AB4">
      <w:pPr>
        <w:pStyle w:val="CoverPageText"/>
        <w:rPr>
          <w:b/>
        </w:rPr>
      </w:pPr>
      <w:r>
        <w:rPr>
          <w:b/>
        </w:rPr>
        <w:t>BDO Wellington Audit Limited</w:t>
      </w:r>
    </w:p>
    <w:p w14:paraId="72F4A4B8" w14:textId="77777777" w:rsidR="00E672A8" w:rsidRPr="00A25AA8" w:rsidRDefault="00E672A8" w:rsidP="00493AB4">
      <w:pPr>
        <w:pStyle w:val="CoverPageText"/>
        <w:rPr>
          <w:b/>
        </w:rPr>
      </w:pPr>
    </w:p>
    <w:p w14:paraId="2E6024F3" w14:textId="77777777" w:rsidR="00E672A8" w:rsidRPr="00A25AA8" w:rsidRDefault="00E672A8" w:rsidP="00493AB4">
      <w:pPr>
        <w:pStyle w:val="CoverPageText"/>
        <w:rPr>
          <w:b/>
        </w:rPr>
      </w:pPr>
    </w:p>
    <w:p w14:paraId="39764CBA" w14:textId="77777777" w:rsidR="00E672A8" w:rsidRPr="00A25AA8" w:rsidRDefault="00E672A8" w:rsidP="00493AB4">
      <w:pPr>
        <w:pStyle w:val="CoverPageText"/>
        <w:rPr>
          <w:b/>
        </w:rPr>
      </w:pPr>
    </w:p>
    <w:p w14:paraId="0A6A5C3B" w14:textId="425FF900" w:rsidR="00E672A8" w:rsidRPr="00A25AA8" w:rsidRDefault="0098036B" w:rsidP="00493AB4">
      <w:pPr>
        <w:pStyle w:val="CoverPageText"/>
        <w:rPr>
          <w:b/>
        </w:rPr>
      </w:pPr>
      <w:r>
        <w:rPr>
          <w:b/>
        </w:rPr>
        <w:t>Henry McClintock</w:t>
      </w:r>
    </w:p>
    <w:p w14:paraId="2D61030D" w14:textId="77777777" w:rsidR="00E672A8" w:rsidRPr="00A25AA8" w:rsidRDefault="00E672A8" w:rsidP="00493AB4">
      <w:pPr>
        <w:pStyle w:val="CoverPageText"/>
        <w:rPr>
          <w:b/>
        </w:rPr>
      </w:pPr>
      <w:r w:rsidRPr="00A25AA8">
        <w:rPr>
          <w:b/>
        </w:rPr>
        <w:t>Partner</w:t>
      </w:r>
    </w:p>
    <w:p w14:paraId="7DBEC55D" w14:textId="77777777" w:rsidR="00E672A8" w:rsidRPr="00A25AA8" w:rsidRDefault="00E672A8" w:rsidP="00493AB4">
      <w:pPr>
        <w:pStyle w:val="CoverPageText"/>
      </w:pPr>
      <w:r w:rsidRPr="00A25AA8">
        <w:t>Audit &amp; Assurance Services</w:t>
      </w:r>
    </w:p>
    <w:p w14:paraId="1AA6711B" w14:textId="77777777" w:rsidR="00664E6D" w:rsidRPr="00A25AA8" w:rsidRDefault="00664E6D" w:rsidP="00493AB4">
      <w:pPr>
        <w:pStyle w:val="CoverPageText"/>
      </w:pPr>
    </w:p>
    <w:p w14:paraId="7E4DD712" w14:textId="481CA8FB" w:rsidR="002E3586" w:rsidRPr="00A25AA8" w:rsidRDefault="00E672A8" w:rsidP="00493AB4">
      <w:pPr>
        <w:pStyle w:val="CoverPageText"/>
        <w:rPr>
          <w:sz w:val="18"/>
        </w:rPr>
      </w:pPr>
      <w:r w:rsidRPr="00A25AA8">
        <w:rPr>
          <w:sz w:val="18"/>
        </w:rPr>
        <w:t>DDI:</w:t>
      </w:r>
      <w:r w:rsidRPr="00A25AA8">
        <w:rPr>
          <w:sz w:val="18"/>
        </w:rPr>
        <w:tab/>
      </w:r>
      <w:r w:rsidR="0098036B" w:rsidRPr="00A36A98">
        <w:rPr>
          <w:sz w:val="18"/>
        </w:rPr>
        <w:t>04 498 3946</w:t>
      </w:r>
    </w:p>
    <w:p w14:paraId="0B40CB92" w14:textId="083E807D" w:rsidR="007B2DDF" w:rsidRPr="00A25AA8" w:rsidRDefault="00E672A8" w:rsidP="00660704">
      <w:pPr>
        <w:pStyle w:val="CoverPageText"/>
        <w:rPr>
          <w:sz w:val="18"/>
        </w:rPr>
      </w:pPr>
      <w:r w:rsidRPr="00A25AA8">
        <w:rPr>
          <w:sz w:val="18"/>
        </w:rPr>
        <w:t>Email:</w:t>
      </w:r>
      <w:r w:rsidRPr="00A25AA8">
        <w:rPr>
          <w:sz w:val="18"/>
        </w:rPr>
        <w:tab/>
      </w:r>
      <w:r w:rsidR="0098036B" w:rsidRPr="00A36A98">
        <w:rPr>
          <w:sz w:val="18"/>
        </w:rPr>
        <w:t>henry.mcclintock@bdo.co.nz</w:t>
      </w:r>
    </w:p>
    <w:p w14:paraId="4FCE6798" w14:textId="77777777" w:rsidR="00664E6D" w:rsidRDefault="00664E6D">
      <w:pPr>
        <w:rPr>
          <w:rFonts w:ascii="Trebuchet MS Bold" w:hAnsi="Trebuchet MS Bold"/>
          <w:b/>
          <w:caps/>
          <w:color w:val="218F8B" w:themeColor="accent2"/>
          <w:sz w:val="32"/>
          <w:szCs w:val="20"/>
          <w:lang w:val="en-AU"/>
        </w:rPr>
      </w:pPr>
      <w:r>
        <w:br w:type="page"/>
      </w:r>
    </w:p>
    <w:p w14:paraId="3C691DF7" w14:textId="77777777" w:rsidR="001E5602" w:rsidRPr="007D5054" w:rsidRDefault="00E672A8" w:rsidP="007D5054">
      <w:pPr>
        <w:pStyle w:val="TOCHeadingBDO"/>
      </w:pPr>
      <w:r w:rsidRPr="007D5054">
        <w:lastRenderedPageBreak/>
        <w:t>TABLE OF CONTENTS</w:t>
      </w:r>
    </w:p>
    <w:bookmarkEnd w:id="0"/>
    <w:p w14:paraId="50F3091F" w14:textId="7E86D958" w:rsidR="00595ED8" w:rsidRDefault="008A78C9">
      <w:pPr>
        <w:pStyle w:val="TOC1"/>
        <w:tabs>
          <w:tab w:val="left" w:pos="440"/>
          <w:tab w:val="right" w:leader="dot" w:pos="13002"/>
        </w:tabs>
        <w:rPr>
          <w:rFonts w:eastAsiaTheme="minorEastAsia"/>
          <w:noProof/>
          <w:lang w:eastAsia="en-NZ"/>
        </w:rPr>
      </w:pPr>
      <w:r>
        <w:fldChar w:fldCharType="begin"/>
      </w:r>
      <w:r>
        <w:instrText xml:space="preserve"> TOC \o "1-1" \h \z \u </w:instrText>
      </w:r>
      <w:r>
        <w:fldChar w:fldCharType="separate"/>
      </w:r>
      <w:hyperlink w:anchor="_Toc41313809" w:history="1">
        <w:r w:rsidR="00595ED8" w:rsidRPr="000E32F3">
          <w:rPr>
            <w:rStyle w:val="Hyperlink"/>
            <w:noProof/>
          </w:rPr>
          <w:t>1.</w:t>
        </w:r>
        <w:r w:rsidR="00595ED8">
          <w:rPr>
            <w:rFonts w:eastAsiaTheme="minorEastAsia"/>
            <w:noProof/>
            <w:lang w:eastAsia="en-NZ"/>
          </w:rPr>
          <w:tab/>
        </w:r>
        <w:r w:rsidR="00595ED8" w:rsidRPr="000E32F3">
          <w:rPr>
            <w:rStyle w:val="Hyperlink"/>
            <w:noProof/>
          </w:rPr>
          <w:t>EXECUTIVE SUMMARY</w:t>
        </w:r>
        <w:r w:rsidR="00595ED8">
          <w:rPr>
            <w:noProof/>
            <w:webHidden/>
          </w:rPr>
          <w:tab/>
        </w:r>
        <w:r w:rsidR="00595ED8">
          <w:rPr>
            <w:noProof/>
            <w:webHidden/>
          </w:rPr>
          <w:fldChar w:fldCharType="begin"/>
        </w:r>
        <w:r w:rsidR="00595ED8">
          <w:rPr>
            <w:noProof/>
            <w:webHidden/>
          </w:rPr>
          <w:instrText xml:space="preserve"> PAGEREF _Toc41313809 \h </w:instrText>
        </w:r>
        <w:r w:rsidR="00595ED8">
          <w:rPr>
            <w:noProof/>
            <w:webHidden/>
          </w:rPr>
        </w:r>
        <w:r w:rsidR="00595ED8">
          <w:rPr>
            <w:noProof/>
            <w:webHidden/>
          </w:rPr>
          <w:fldChar w:fldCharType="separate"/>
        </w:r>
        <w:r w:rsidR="00595ED8">
          <w:rPr>
            <w:noProof/>
            <w:webHidden/>
          </w:rPr>
          <w:t>1</w:t>
        </w:r>
        <w:r w:rsidR="00595ED8">
          <w:rPr>
            <w:noProof/>
            <w:webHidden/>
          </w:rPr>
          <w:fldChar w:fldCharType="end"/>
        </w:r>
      </w:hyperlink>
    </w:p>
    <w:p w14:paraId="16B1BAD0" w14:textId="4B99E94C" w:rsidR="00595ED8" w:rsidRDefault="00CC4910">
      <w:pPr>
        <w:pStyle w:val="TOC1"/>
        <w:tabs>
          <w:tab w:val="left" w:pos="440"/>
          <w:tab w:val="right" w:leader="dot" w:pos="13002"/>
        </w:tabs>
        <w:rPr>
          <w:rFonts w:eastAsiaTheme="minorEastAsia"/>
          <w:noProof/>
          <w:lang w:eastAsia="en-NZ"/>
        </w:rPr>
      </w:pPr>
      <w:hyperlink w:anchor="_Toc41313810" w:history="1">
        <w:r w:rsidR="00595ED8" w:rsidRPr="000E32F3">
          <w:rPr>
            <w:rStyle w:val="Hyperlink"/>
            <w:noProof/>
          </w:rPr>
          <w:t>2.</w:t>
        </w:r>
        <w:r w:rsidR="00595ED8">
          <w:rPr>
            <w:rFonts w:eastAsiaTheme="minorEastAsia"/>
            <w:noProof/>
            <w:lang w:eastAsia="en-NZ"/>
          </w:rPr>
          <w:tab/>
        </w:r>
        <w:r w:rsidR="00595ED8" w:rsidRPr="000E32F3">
          <w:rPr>
            <w:rStyle w:val="Hyperlink"/>
            <w:noProof/>
          </w:rPr>
          <w:t>KEY FINANCIAL STATEMENT AUDIT RISKS AND AREAS OF AUDIT EMPHASIS</w:t>
        </w:r>
        <w:r w:rsidR="00595ED8">
          <w:rPr>
            <w:noProof/>
            <w:webHidden/>
          </w:rPr>
          <w:tab/>
        </w:r>
        <w:r w:rsidR="00595ED8">
          <w:rPr>
            <w:noProof/>
            <w:webHidden/>
          </w:rPr>
          <w:fldChar w:fldCharType="begin"/>
        </w:r>
        <w:r w:rsidR="00595ED8">
          <w:rPr>
            <w:noProof/>
            <w:webHidden/>
          </w:rPr>
          <w:instrText xml:space="preserve"> PAGEREF _Toc41313810 \h </w:instrText>
        </w:r>
        <w:r w:rsidR="00595ED8">
          <w:rPr>
            <w:noProof/>
            <w:webHidden/>
          </w:rPr>
        </w:r>
        <w:r w:rsidR="00595ED8">
          <w:rPr>
            <w:noProof/>
            <w:webHidden/>
          </w:rPr>
          <w:fldChar w:fldCharType="separate"/>
        </w:r>
        <w:r w:rsidR="00595ED8">
          <w:rPr>
            <w:noProof/>
            <w:webHidden/>
          </w:rPr>
          <w:t>4</w:t>
        </w:r>
        <w:r w:rsidR="00595ED8">
          <w:rPr>
            <w:noProof/>
            <w:webHidden/>
          </w:rPr>
          <w:fldChar w:fldCharType="end"/>
        </w:r>
      </w:hyperlink>
    </w:p>
    <w:p w14:paraId="3B587B27" w14:textId="5A7C12DC" w:rsidR="00595ED8" w:rsidRDefault="00CC4910">
      <w:pPr>
        <w:pStyle w:val="TOC1"/>
        <w:tabs>
          <w:tab w:val="left" w:pos="440"/>
          <w:tab w:val="right" w:leader="dot" w:pos="13002"/>
        </w:tabs>
        <w:rPr>
          <w:rFonts w:eastAsiaTheme="minorEastAsia"/>
          <w:noProof/>
          <w:lang w:eastAsia="en-NZ"/>
        </w:rPr>
      </w:pPr>
      <w:hyperlink w:anchor="_Toc41313811" w:history="1">
        <w:r w:rsidR="00595ED8" w:rsidRPr="000E32F3">
          <w:rPr>
            <w:rStyle w:val="Hyperlink"/>
            <w:noProof/>
          </w:rPr>
          <w:t>3.</w:t>
        </w:r>
        <w:r w:rsidR="00595ED8">
          <w:rPr>
            <w:rFonts w:eastAsiaTheme="minorEastAsia"/>
            <w:noProof/>
            <w:lang w:eastAsia="en-NZ"/>
          </w:rPr>
          <w:tab/>
        </w:r>
        <w:r w:rsidR="00595ED8" w:rsidRPr="000E32F3">
          <w:rPr>
            <w:rStyle w:val="Hyperlink"/>
            <w:noProof/>
          </w:rPr>
          <w:t>INTERNAL CONTROL AND OTHER AUDIT FINDINGS</w:t>
        </w:r>
        <w:r w:rsidR="00595ED8">
          <w:rPr>
            <w:noProof/>
            <w:webHidden/>
          </w:rPr>
          <w:tab/>
        </w:r>
        <w:r w:rsidR="00595ED8">
          <w:rPr>
            <w:noProof/>
            <w:webHidden/>
          </w:rPr>
          <w:fldChar w:fldCharType="begin"/>
        </w:r>
        <w:r w:rsidR="00595ED8">
          <w:rPr>
            <w:noProof/>
            <w:webHidden/>
          </w:rPr>
          <w:instrText xml:space="preserve"> PAGEREF _Toc41313811 \h </w:instrText>
        </w:r>
        <w:r w:rsidR="00595ED8">
          <w:rPr>
            <w:noProof/>
            <w:webHidden/>
          </w:rPr>
        </w:r>
        <w:r w:rsidR="00595ED8">
          <w:rPr>
            <w:noProof/>
            <w:webHidden/>
          </w:rPr>
          <w:fldChar w:fldCharType="separate"/>
        </w:r>
        <w:r w:rsidR="00595ED8">
          <w:rPr>
            <w:noProof/>
            <w:webHidden/>
          </w:rPr>
          <w:t>6</w:t>
        </w:r>
        <w:r w:rsidR="00595ED8">
          <w:rPr>
            <w:noProof/>
            <w:webHidden/>
          </w:rPr>
          <w:fldChar w:fldCharType="end"/>
        </w:r>
      </w:hyperlink>
    </w:p>
    <w:p w14:paraId="4C796CD8" w14:textId="28141FE3" w:rsidR="00595ED8" w:rsidRDefault="00CC4910">
      <w:pPr>
        <w:pStyle w:val="TOC1"/>
        <w:tabs>
          <w:tab w:val="left" w:pos="440"/>
          <w:tab w:val="right" w:leader="dot" w:pos="13002"/>
        </w:tabs>
        <w:rPr>
          <w:rFonts w:eastAsiaTheme="minorEastAsia"/>
          <w:noProof/>
          <w:lang w:eastAsia="en-NZ"/>
        </w:rPr>
      </w:pPr>
      <w:hyperlink w:anchor="_Toc41313812" w:history="1">
        <w:r w:rsidR="00595ED8" w:rsidRPr="000E32F3">
          <w:rPr>
            <w:rStyle w:val="Hyperlink"/>
            <w:noProof/>
          </w:rPr>
          <w:t>4.</w:t>
        </w:r>
        <w:r w:rsidR="00595ED8">
          <w:rPr>
            <w:rFonts w:eastAsiaTheme="minorEastAsia"/>
            <w:noProof/>
            <w:lang w:eastAsia="en-NZ"/>
          </w:rPr>
          <w:tab/>
        </w:r>
        <w:r w:rsidR="00595ED8" w:rsidRPr="000E32F3">
          <w:rPr>
            <w:rStyle w:val="Hyperlink"/>
            <w:noProof/>
          </w:rPr>
          <w:t>REQUIRED COMMUNICATIONS WITH GOVERNANCE</w:t>
        </w:r>
        <w:r w:rsidR="00595ED8">
          <w:rPr>
            <w:noProof/>
            <w:webHidden/>
          </w:rPr>
          <w:tab/>
        </w:r>
        <w:r w:rsidR="00595ED8">
          <w:rPr>
            <w:noProof/>
            <w:webHidden/>
          </w:rPr>
          <w:fldChar w:fldCharType="begin"/>
        </w:r>
        <w:r w:rsidR="00595ED8">
          <w:rPr>
            <w:noProof/>
            <w:webHidden/>
          </w:rPr>
          <w:instrText xml:space="preserve"> PAGEREF _Toc41313812 \h </w:instrText>
        </w:r>
        <w:r w:rsidR="00595ED8">
          <w:rPr>
            <w:noProof/>
            <w:webHidden/>
          </w:rPr>
        </w:r>
        <w:r w:rsidR="00595ED8">
          <w:rPr>
            <w:noProof/>
            <w:webHidden/>
          </w:rPr>
          <w:fldChar w:fldCharType="separate"/>
        </w:r>
        <w:r w:rsidR="00595ED8">
          <w:rPr>
            <w:noProof/>
            <w:webHidden/>
          </w:rPr>
          <w:t>8</w:t>
        </w:r>
        <w:r w:rsidR="00595ED8">
          <w:rPr>
            <w:noProof/>
            <w:webHidden/>
          </w:rPr>
          <w:fldChar w:fldCharType="end"/>
        </w:r>
      </w:hyperlink>
    </w:p>
    <w:p w14:paraId="695186F6" w14:textId="2A172283" w:rsidR="00595ED8" w:rsidRDefault="00CC4910">
      <w:pPr>
        <w:pStyle w:val="TOC1"/>
        <w:tabs>
          <w:tab w:val="right" w:leader="dot" w:pos="13002"/>
        </w:tabs>
        <w:rPr>
          <w:rFonts w:eastAsiaTheme="minorEastAsia"/>
          <w:noProof/>
          <w:lang w:eastAsia="en-NZ"/>
        </w:rPr>
      </w:pPr>
      <w:hyperlink w:anchor="_Toc41313813" w:history="1">
        <w:r w:rsidR="00595ED8" w:rsidRPr="000E32F3">
          <w:rPr>
            <w:rStyle w:val="Hyperlink"/>
            <w:noProof/>
          </w:rPr>
          <w:t>APPENDIX 1 – ADJUSTED DIFFERENCES</w:t>
        </w:r>
        <w:r w:rsidR="00595ED8">
          <w:rPr>
            <w:noProof/>
            <w:webHidden/>
          </w:rPr>
          <w:tab/>
        </w:r>
        <w:r w:rsidR="00595ED8">
          <w:rPr>
            <w:noProof/>
            <w:webHidden/>
          </w:rPr>
          <w:fldChar w:fldCharType="begin"/>
        </w:r>
        <w:r w:rsidR="00595ED8">
          <w:rPr>
            <w:noProof/>
            <w:webHidden/>
          </w:rPr>
          <w:instrText xml:space="preserve"> PAGEREF _Toc41313813 \h </w:instrText>
        </w:r>
        <w:r w:rsidR="00595ED8">
          <w:rPr>
            <w:noProof/>
            <w:webHidden/>
          </w:rPr>
        </w:r>
        <w:r w:rsidR="00595ED8">
          <w:rPr>
            <w:noProof/>
            <w:webHidden/>
          </w:rPr>
          <w:fldChar w:fldCharType="separate"/>
        </w:r>
        <w:r w:rsidR="00595ED8">
          <w:rPr>
            <w:noProof/>
            <w:webHidden/>
          </w:rPr>
          <w:t>12</w:t>
        </w:r>
        <w:r w:rsidR="00595ED8">
          <w:rPr>
            <w:noProof/>
            <w:webHidden/>
          </w:rPr>
          <w:fldChar w:fldCharType="end"/>
        </w:r>
      </w:hyperlink>
    </w:p>
    <w:p w14:paraId="77B38C2A" w14:textId="325EF3E6" w:rsidR="00595ED8" w:rsidRDefault="00CC4910">
      <w:pPr>
        <w:pStyle w:val="TOC1"/>
        <w:tabs>
          <w:tab w:val="right" w:leader="dot" w:pos="13002"/>
        </w:tabs>
        <w:rPr>
          <w:rFonts w:eastAsiaTheme="minorEastAsia"/>
          <w:noProof/>
          <w:lang w:eastAsia="en-NZ"/>
        </w:rPr>
      </w:pPr>
      <w:hyperlink w:anchor="_Toc41313814" w:history="1">
        <w:r w:rsidR="00595ED8" w:rsidRPr="000E32F3">
          <w:rPr>
            <w:rStyle w:val="Hyperlink"/>
            <w:noProof/>
          </w:rPr>
          <w:t>APPENDIX 2 - UPDATE ON FINDINGS FROM PRIOR YEAR</w:t>
        </w:r>
        <w:r w:rsidR="00595ED8">
          <w:rPr>
            <w:noProof/>
            <w:webHidden/>
          </w:rPr>
          <w:tab/>
        </w:r>
        <w:r w:rsidR="00595ED8">
          <w:rPr>
            <w:noProof/>
            <w:webHidden/>
          </w:rPr>
          <w:fldChar w:fldCharType="begin"/>
        </w:r>
        <w:r w:rsidR="00595ED8">
          <w:rPr>
            <w:noProof/>
            <w:webHidden/>
          </w:rPr>
          <w:instrText xml:space="preserve"> PAGEREF _Toc41313814 \h </w:instrText>
        </w:r>
        <w:r w:rsidR="00595ED8">
          <w:rPr>
            <w:noProof/>
            <w:webHidden/>
          </w:rPr>
        </w:r>
        <w:r w:rsidR="00595ED8">
          <w:rPr>
            <w:noProof/>
            <w:webHidden/>
          </w:rPr>
          <w:fldChar w:fldCharType="separate"/>
        </w:r>
        <w:r w:rsidR="00595ED8">
          <w:rPr>
            <w:noProof/>
            <w:webHidden/>
          </w:rPr>
          <w:t>13</w:t>
        </w:r>
        <w:r w:rsidR="00595ED8">
          <w:rPr>
            <w:noProof/>
            <w:webHidden/>
          </w:rPr>
          <w:fldChar w:fldCharType="end"/>
        </w:r>
      </w:hyperlink>
    </w:p>
    <w:p w14:paraId="3B693C42" w14:textId="3E1530AD" w:rsidR="00027B6F" w:rsidRDefault="008A78C9" w:rsidP="000C3CFA">
      <w:pPr>
        <w:pStyle w:val="TOC"/>
        <w:sectPr w:rsidR="00027B6F" w:rsidSect="00664E6D">
          <w:headerReference w:type="default" r:id="rId16"/>
          <w:footerReference w:type="even" r:id="rId17"/>
          <w:footerReference w:type="default" r:id="rId18"/>
          <w:pgSz w:w="16840" w:h="11907" w:orient="landscape" w:code="9"/>
          <w:pgMar w:top="1701" w:right="1843" w:bottom="1560" w:left="1985" w:header="720" w:footer="990" w:gutter="0"/>
          <w:pgNumType w:start="1"/>
          <w:cols w:space="720"/>
          <w:docGrid w:linePitch="360"/>
        </w:sectPr>
      </w:pPr>
      <w:r>
        <w:fldChar w:fldCharType="end"/>
      </w:r>
    </w:p>
    <w:p w14:paraId="4F398B8A" w14:textId="77777777" w:rsidR="00E672A8" w:rsidRPr="007D5054" w:rsidRDefault="00E672A8" w:rsidP="000C3CFA">
      <w:pPr>
        <w:pStyle w:val="Heading1"/>
        <w:ind w:hanging="720"/>
      </w:pPr>
      <w:bookmarkStart w:id="3" w:name="_Toc41313809"/>
      <w:r w:rsidRPr="007D5054">
        <w:lastRenderedPageBreak/>
        <w:t>EXECUTIVE SUMMARY</w:t>
      </w:r>
      <w:bookmarkEnd w:id="3"/>
    </w:p>
    <w:p w14:paraId="6DAB059F" w14:textId="77777777" w:rsidR="00E672A8" w:rsidRPr="00493AB4" w:rsidRDefault="00E672A8" w:rsidP="00493AB4">
      <w:pPr>
        <w:spacing w:before="360"/>
        <w:rPr>
          <w:rStyle w:val="Emphasis"/>
        </w:rPr>
      </w:pPr>
      <w:r w:rsidRPr="00493AB4">
        <w:rPr>
          <w:rStyle w:val="Emphasis"/>
        </w:rPr>
        <w:t>STATUS OF THE AUDIT</w:t>
      </w:r>
      <w:r w:rsidR="00F8674E" w:rsidRPr="00493AB4">
        <w:rPr>
          <w:rStyle w:val="Emphasis"/>
        </w:rPr>
        <w:t xml:space="preserve"> AND THE AUDIT OPINION</w:t>
      </w:r>
    </w:p>
    <w:p w14:paraId="55039275" w14:textId="3ACFD5CE" w:rsidR="0023042B" w:rsidRPr="00726175" w:rsidRDefault="0023042B" w:rsidP="0023042B">
      <w:pPr>
        <w:pStyle w:val="Text"/>
      </w:pPr>
      <w:r w:rsidRPr="0098036B">
        <w:t xml:space="preserve">BDO </w:t>
      </w:r>
      <w:r w:rsidR="0098036B" w:rsidRPr="0098036B">
        <w:t>Wellington</w:t>
      </w:r>
      <w:r w:rsidR="0098036B">
        <w:t xml:space="preserve"> Audit Limited </w:t>
      </w:r>
      <w:r w:rsidRPr="00726175">
        <w:t xml:space="preserve">(‘BDO’) is the Appointed Audit Firm of </w:t>
      </w:r>
      <w:r w:rsidR="0098036B">
        <w:t>Lyall Bay</w:t>
      </w:r>
      <w:r w:rsidR="00C976A1">
        <w:t xml:space="preserve"> (the “School”).</w:t>
      </w:r>
    </w:p>
    <w:p w14:paraId="0516695A" w14:textId="77777777" w:rsidR="0023042B" w:rsidRPr="006A3E78" w:rsidRDefault="0023042B" w:rsidP="0023042B">
      <w:pPr>
        <w:pStyle w:val="Text"/>
      </w:pPr>
      <w:r w:rsidRPr="00726175">
        <w:t xml:space="preserve">BDO’s responsibilities include a requirement to express an opinion on </w:t>
      </w:r>
      <w:r>
        <w:t>the</w:t>
      </w:r>
      <w:r w:rsidRPr="00726175">
        <w:t xml:space="preserve"> School’s financial statements arising from our audit conducted in accordance with the Auditor-General’s Auditing Standards which incorporate International Standards on Auditing (NZ).</w:t>
      </w:r>
    </w:p>
    <w:p w14:paraId="47D442D0" w14:textId="77777777" w:rsidR="00726175" w:rsidRPr="008321B7" w:rsidRDefault="00726175" w:rsidP="00726175">
      <w:pPr>
        <w:pStyle w:val="Text"/>
      </w:pPr>
      <w:r w:rsidRPr="00726175">
        <w:t xml:space="preserve">This report details the processes, findings and recommendations from our audit of </w:t>
      </w:r>
      <w:r w:rsidR="00C976A1">
        <w:t xml:space="preserve">the School </w:t>
      </w:r>
      <w:r w:rsidRPr="00726175">
        <w:t xml:space="preserve">in accordance with the Auditor General’s Auditing Standards, and the terms of our engagement as set out in our audit </w:t>
      </w:r>
      <w:r w:rsidRPr="008321B7">
        <w:t>engagement letter.</w:t>
      </w:r>
    </w:p>
    <w:p w14:paraId="35140A58" w14:textId="7D44440D" w:rsidR="00F8674E" w:rsidRDefault="00E672A8" w:rsidP="00493AB4">
      <w:pPr>
        <w:pStyle w:val="Text"/>
      </w:pPr>
      <w:r w:rsidRPr="008321B7">
        <w:t xml:space="preserve">Our audit of </w:t>
      </w:r>
      <w:r w:rsidR="00726175" w:rsidRPr="008321B7">
        <w:t>the School</w:t>
      </w:r>
      <w:r w:rsidR="00660704" w:rsidRPr="008321B7">
        <w:t>’s</w:t>
      </w:r>
      <w:r w:rsidR="00493AB4" w:rsidRPr="008321B7">
        <w:t xml:space="preserve"> </w:t>
      </w:r>
      <w:r w:rsidRPr="008321B7">
        <w:t xml:space="preserve">financial statements for the </w:t>
      </w:r>
      <w:r w:rsidR="00660704" w:rsidRPr="008321B7">
        <w:t>year</w:t>
      </w:r>
      <w:r w:rsidRPr="008321B7">
        <w:t xml:space="preserve"> ended </w:t>
      </w:r>
      <w:r w:rsidR="00726175" w:rsidRPr="008321B7">
        <w:t xml:space="preserve">31 </w:t>
      </w:r>
      <w:r w:rsidR="00726175" w:rsidRPr="0098036B">
        <w:t>December 201</w:t>
      </w:r>
      <w:r w:rsidR="0098036B" w:rsidRPr="0098036B">
        <w:t>9</w:t>
      </w:r>
      <w:r w:rsidRPr="0098036B">
        <w:t xml:space="preserve"> is complete</w:t>
      </w:r>
      <w:r w:rsidR="0098036B">
        <w:t>.</w:t>
      </w:r>
    </w:p>
    <w:p w14:paraId="5CDD9135" w14:textId="0AC3313A" w:rsidR="00E672A8" w:rsidRPr="00E672A8" w:rsidRDefault="00E672A8" w:rsidP="00493AB4">
      <w:pPr>
        <w:pStyle w:val="Text"/>
      </w:pPr>
      <w:r w:rsidRPr="00E672A8">
        <w:t xml:space="preserve">We </w:t>
      </w:r>
      <w:r w:rsidRPr="0098036B">
        <w:t>have issued</w:t>
      </w:r>
      <w:r w:rsidRPr="00E672A8">
        <w:t xml:space="preserve"> an unqualified audit opinion</w:t>
      </w:r>
      <w:r w:rsidR="00660704">
        <w:t>.</w:t>
      </w:r>
    </w:p>
    <w:p w14:paraId="3B1883C8" w14:textId="77777777" w:rsidR="00726175" w:rsidRDefault="00E672A8" w:rsidP="00493AB4">
      <w:pPr>
        <w:pStyle w:val="Text"/>
      </w:pPr>
      <w:r w:rsidRPr="00E672A8">
        <w:t>We welcome your feedback on the effectiveness of</w:t>
      </w:r>
      <w:r w:rsidR="00BB3EFB">
        <w:t xml:space="preserve"> the audit process and are available</w:t>
      </w:r>
      <w:r w:rsidRPr="00E672A8">
        <w:t xml:space="preserve"> to discuss our performance.</w:t>
      </w:r>
    </w:p>
    <w:p w14:paraId="36846E37" w14:textId="77777777" w:rsidR="00726175" w:rsidRPr="00726175" w:rsidRDefault="00726175" w:rsidP="00726175">
      <w:pPr>
        <w:spacing w:before="360"/>
        <w:rPr>
          <w:rStyle w:val="Emphasis"/>
        </w:rPr>
      </w:pPr>
      <w:bookmarkStart w:id="4" w:name="_Toc390776411"/>
      <w:bookmarkStart w:id="5" w:name="_Toc390776790"/>
      <w:bookmarkStart w:id="6" w:name="_Toc410305374"/>
      <w:bookmarkStart w:id="7" w:name="_Toc411934308"/>
      <w:bookmarkStart w:id="8" w:name="_Toc413677855"/>
      <w:r w:rsidRPr="00726175">
        <w:rPr>
          <w:rStyle w:val="Emphasis"/>
        </w:rPr>
        <w:t>AUDIT SCOPE AND OBJECTIVES</w:t>
      </w:r>
      <w:bookmarkEnd w:id="4"/>
      <w:bookmarkEnd w:id="5"/>
      <w:bookmarkEnd w:id="6"/>
      <w:bookmarkEnd w:id="7"/>
      <w:bookmarkEnd w:id="8"/>
    </w:p>
    <w:p w14:paraId="118516AA" w14:textId="77777777" w:rsidR="00726175" w:rsidRPr="00726175" w:rsidRDefault="00726175" w:rsidP="00726175">
      <w:pPr>
        <w:pStyle w:val="Text"/>
      </w:pPr>
      <w:r w:rsidRPr="00726175">
        <w:t>Our audit objectives are to:</w:t>
      </w:r>
    </w:p>
    <w:p w14:paraId="39C333B3" w14:textId="77777777" w:rsidR="00726175" w:rsidRPr="00726175" w:rsidRDefault="00726175" w:rsidP="00304B2E">
      <w:pPr>
        <w:pStyle w:val="BulletListBDO"/>
      </w:pPr>
      <w:r w:rsidRPr="00726175">
        <w:t>report on whether the financial statements give a true and fair view, and</w:t>
      </w:r>
    </w:p>
    <w:p w14:paraId="10A33FDC" w14:textId="77777777" w:rsidR="00726175" w:rsidRDefault="00726175" w:rsidP="00304B2E">
      <w:pPr>
        <w:pStyle w:val="BulletListBDO"/>
      </w:pPr>
      <w:r w:rsidRPr="00726175">
        <w:t xml:space="preserve">report to Management about control environment issues that should be addressed by </w:t>
      </w:r>
      <w:r>
        <w:t>the s</w:t>
      </w:r>
      <w:r w:rsidRPr="00726175">
        <w:t>chool.</w:t>
      </w:r>
    </w:p>
    <w:p w14:paraId="61D588A0" w14:textId="77777777" w:rsidR="00304B2E" w:rsidRPr="00726175" w:rsidRDefault="00304B2E" w:rsidP="00304B2E">
      <w:pPr>
        <w:pStyle w:val="BulletListBDO"/>
        <w:numPr>
          <w:ilvl w:val="0"/>
          <w:numId w:val="0"/>
        </w:numPr>
        <w:ind w:left="62"/>
      </w:pPr>
    </w:p>
    <w:p w14:paraId="57E75AAF" w14:textId="77777777" w:rsidR="00726175" w:rsidRPr="00726175" w:rsidRDefault="00726175" w:rsidP="00726175">
      <w:pPr>
        <w:pStyle w:val="Text"/>
      </w:pPr>
      <w:r w:rsidRPr="00726175">
        <w:t>A strong control environment would feature adequate segregation of duties over important financial processes, and independent reviews as compensating controls should it not always be practicable f</w:t>
      </w:r>
      <w:r>
        <w:t xml:space="preserve">or the duties to be separated. </w:t>
      </w:r>
    </w:p>
    <w:p w14:paraId="618ECF61" w14:textId="77777777" w:rsidR="00726175" w:rsidRPr="00E672A8" w:rsidRDefault="00726175" w:rsidP="00493AB4">
      <w:pPr>
        <w:pStyle w:val="Text"/>
      </w:pPr>
      <w:r w:rsidRPr="00726175">
        <w:t xml:space="preserve">We have documented, tested and assessed the controls supporting </w:t>
      </w:r>
      <w:r>
        <w:t>the s</w:t>
      </w:r>
      <w:r w:rsidRPr="00726175">
        <w:t xml:space="preserve">chool’s key transaction streams, and there are no significant weaknesses to report. Control weaknesses identified during the audit have been included in the </w:t>
      </w:r>
      <w:r>
        <w:t>Internal Control and Other</w:t>
      </w:r>
      <w:r w:rsidRPr="00726175">
        <w:t xml:space="preserve"> Findings section of this report.</w:t>
      </w:r>
    </w:p>
    <w:p w14:paraId="3EB693FB" w14:textId="77777777" w:rsidR="00195AC7" w:rsidRDefault="00195AC7">
      <w:pPr>
        <w:rPr>
          <w:rStyle w:val="Emphasis"/>
        </w:rPr>
      </w:pPr>
      <w:r>
        <w:rPr>
          <w:rStyle w:val="Emphasis"/>
        </w:rPr>
        <w:br w:type="page"/>
      </w:r>
    </w:p>
    <w:p w14:paraId="7D57D28E" w14:textId="77777777" w:rsidR="00E672A8" w:rsidRPr="00493AB4" w:rsidRDefault="00E672A8" w:rsidP="00493AB4">
      <w:pPr>
        <w:spacing w:before="360"/>
        <w:rPr>
          <w:rStyle w:val="Emphasis"/>
        </w:rPr>
      </w:pPr>
      <w:r w:rsidRPr="00493AB4">
        <w:rPr>
          <w:rStyle w:val="Emphasis"/>
        </w:rPr>
        <w:lastRenderedPageBreak/>
        <w:t>AREAS OF SIGNIFICANT RISK AND AUDIT EMPHASIS</w:t>
      </w:r>
    </w:p>
    <w:p w14:paraId="2D3591A4" w14:textId="77777777" w:rsidR="009864D8" w:rsidRPr="00660704" w:rsidRDefault="00E672A8" w:rsidP="00493AB4">
      <w:pPr>
        <w:pStyle w:val="Text"/>
      </w:pPr>
      <w:r w:rsidRPr="00493AB4">
        <w:t xml:space="preserve">Our audit approach considered the inherent risks in your business, their potential impact on the financial statements and the associated risk </w:t>
      </w:r>
      <w:r w:rsidRPr="00660704">
        <w:t>mitigations and controls in place. The significant matters arising from our audit work are:</w:t>
      </w:r>
    </w:p>
    <w:p w14:paraId="7B210463" w14:textId="77777777" w:rsidR="00E672A8" w:rsidRPr="00660704" w:rsidRDefault="00660704" w:rsidP="009E5960">
      <w:pPr>
        <w:pStyle w:val="BulletListBDO"/>
      </w:pPr>
      <w:r w:rsidRPr="00660704">
        <w:t>Locally raised funds</w:t>
      </w:r>
    </w:p>
    <w:p w14:paraId="3CB23291" w14:textId="77777777" w:rsidR="00E672A8" w:rsidRPr="00660704" w:rsidRDefault="00660704" w:rsidP="009E5960">
      <w:pPr>
        <w:pStyle w:val="BulletListBDO"/>
      </w:pPr>
      <w:r w:rsidRPr="00660704">
        <w:t>Payroll not approved or checked</w:t>
      </w:r>
    </w:p>
    <w:p w14:paraId="1B4AAE08" w14:textId="77777777" w:rsidR="00660704" w:rsidRPr="008321B7" w:rsidRDefault="00660704" w:rsidP="009E5960">
      <w:pPr>
        <w:pStyle w:val="BulletListBDO"/>
      </w:pPr>
      <w:r w:rsidRPr="00660704">
        <w:t xml:space="preserve">Cyclical maintenance </w:t>
      </w:r>
      <w:r w:rsidRPr="008321B7">
        <w:t>provision</w:t>
      </w:r>
    </w:p>
    <w:p w14:paraId="1B033C14" w14:textId="77777777" w:rsidR="00897238" w:rsidRPr="008321B7" w:rsidRDefault="00897238" w:rsidP="009E5960">
      <w:pPr>
        <w:pStyle w:val="BulletListBDO"/>
      </w:pPr>
      <w:r w:rsidRPr="008321B7">
        <w:t>Management Override</w:t>
      </w:r>
    </w:p>
    <w:p w14:paraId="66249691" w14:textId="77777777" w:rsidR="00660704" w:rsidRPr="00660704" w:rsidRDefault="00660704" w:rsidP="00660704">
      <w:pPr>
        <w:pStyle w:val="BulletListBDO"/>
        <w:numPr>
          <w:ilvl w:val="0"/>
          <w:numId w:val="0"/>
        </w:numPr>
        <w:ind w:left="419" w:hanging="357"/>
      </w:pPr>
    </w:p>
    <w:p w14:paraId="24B12792" w14:textId="77777777" w:rsidR="00E672A8" w:rsidRPr="00E672A8" w:rsidRDefault="00BC26C1" w:rsidP="00493AB4">
      <w:pPr>
        <w:pStyle w:val="Text"/>
      </w:pPr>
      <w:r w:rsidRPr="00660704">
        <w:t xml:space="preserve">We were able to obtain sufficient and appropriate audit evidence in respect to these items and have no significant findings to bring to your attention. </w:t>
      </w:r>
      <w:r w:rsidR="00E672A8" w:rsidRPr="00660704">
        <w:t>Refer to</w:t>
      </w:r>
      <w:r w:rsidR="00E672A8" w:rsidRPr="00E672A8">
        <w:t xml:space="preserve"> </w:t>
      </w:r>
      <w:r w:rsidR="008D7545">
        <w:t>S</w:t>
      </w:r>
      <w:r w:rsidR="00493AB4" w:rsidRPr="00493AB4">
        <w:t xml:space="preserve">ection </w:t>
      </w:r>
      <w:r w:rsidR="00493AB4" w:rsidRPr="00184615">
        <w:t>2</w:t>
      </w:r>
      <w:r w:rsidR="00E672A8" w:rsidRPr="00493AB4">
        <w:t xml:space="preserve"> for</w:t>
      </w:r>
      <w:r w:rsidR="00E672A8" w:rsidRPr="00E672A8">
        <w:t xml:space="preserve"> our </w:t>
      </w:r>
      <w:r>
        <w:t>comments in respect to each significant risk and area of audit emphasis</w:t>
      </w:r>
      <w:r w:rsidR="00E672A8" w:rsidRPr="00E672A8">
        <w:t>.</w:t>
      </w:r>
    </w:p>
    <w:p w14:paraId="3B47DF49" w14:textId="77777777" w:rsidR="00E672A8" w:rsidRPr="00493AB4" w:rsidRDefault="00E672A8" w:rsidP="00493AB4">
      <w:pPr>
        <w:spacing w:before="360"/>
        <w:rPr>
          <w:rStyle w:val="Emphasis"/>
        </w:rPr>
      </w:pPr>
      <w:r w:rsidRPr="00493AB4">
        <w:rPr>
          <w:rStyle w:val="Emphasis"/>
        </w:rPr>
        <w:t>SUMMARY OF UNCORRECTED MISSTATEMENTS</w:t>
      </w:r>
    </w:p>
    <w:p w14:paraId="4F4DC5CA" w14:textId="3FE64C07" w:rsidR="00E672A8" w:rsidRPr="00E672A8" w:rsidRDefault="00BC26C1" w:rsidP="00493AB4">
      <w:pPr>
        <w:pStyle w:val="Text"/>
      </w:pPr>
      <w:r w:rsidRPr="0098036B">
        <w:t>There were no errors left uncorrected at the conclusion of our audit</w:t>
      </w:r>
      <w:r w:rsidR="0098036B" w:rsidRPr="0098036B">
        <w:t>.</w:t>
      </w:r>
    </w:p>
    <w:p w14:paraId="75A9C127" w14:textId="77777777" w:rsidR="00E672A8" w:rsidRPr="00E672A8" w:rsidRDefault="00E672A8" w:rsidP="00493AB4">
      <w:pPr>
        <w:spacing w:before="360"/>
        <w:rPr>
          <w:rStyle w:val="Emphasis"/>
        </w:rPr>
      </w:pPr>
      <w:r w:rsidRPr="00E672A8">
        <w:rPr>
          <w:rStyle w:val="Emphasis"/>
        </w:rPr>
        <w:t>INTERNAL CONTROLS</w:t>
      </w:r>
    </w:p>
    <w:p w14:paraId="0C63EF28" w14:textId="77777777" w:rsidR="00E672A8" w:rsidRPr="00E672A8" w:rsidRDefault="00E672A8" w:rsidP="00493AB4">
      <w:pPr>
        <w:pStyle w:val="Text"/>
      </w:pPr>
      <w:r w:rsidRPr="00E672A8">
        <w:t xml:space="preserve">Our audit approach requires us to obtain an understanding of an entity’s internal controls in order to identify assess the risk of material misstatement of the financial statements </w:t>
      </w:r>
      <w:r w:rsidRPr="00660704">
        <w:t xml:space="preserve">whether due to fraud or </w:t>
      </w:r>
      <w:r w:rsidRPr="00660704">
        <w:rPr>
          <w:noProof/>
        </w:rPr>
        <w:t>error</w:t>
      </w:r>
      <w:r w:rsidRPr="00660704">
        <w:t xml:space="preserve"> but is not designed to provide assurance over the overall effectiveness of controls operating within the </w:t>
      </w:r>
      <w:r w:rsidR="000C3CFA">
        <w:t>School</w:t>
      </w:r>
      <w:r w:rsidRPr="00660704">
        <w:t>.</w:t>
      </w:r>
      <w:r w:rsidRPr="00E672A8">
        <w:t xml:space="preserve"> </w:t>
      </w:r>
    </w:p>
    <w:p w14:paraId="0884028B" w14:textId="651FDC6F" w:rsidR="00F0382F" w:rsidRDefault="00AF3A0B" w:rsidP="0098036B">
      <w:pPr>
        <w:pStyle w:val="Text"/>
      </w:pPr>
      <w:r w:rsidRPr="0098036B">
        <w:t xml:space="preserve">We have included </w:t>
      </w:r>
      <w:r w:rsidRPr="0098036B">
        <w:rPr>
          <w:noProof/>
        </w:rPr>
        <w:t>in</w:t>
      </w:r>
      <w:r w:rsidRPr="0098036B">
        <w:t xml:space="preserve"> Appendix 1 of this report, a summary of our findings and recommendations arising as a result of our audit procedures. </w:t>
      </w:r>
    </w:p>
    <w:p w14:paraId="12588CCF" w14:textId="6A1E9127" w:rsidR="0098036B" w:rsidRDefault="0098036B" w:rsidP="0098036B">
      <w:pPr>
        <w:pStyle w:val="Text"/>
      </w:pPr>
    </w:p>
    <w:p w14:paraId="31B36899" w14:textId="4AC090D8" w:rsidR="0098036B" w:rsidRDefault="0098036B" w:rsidP="0098036B">
      <w:pPr>
        <w:pStyle w:val="Text"/>
      </w:pPr>
    </w:p>
    <w:p w14:paraId="58819173" w14:textId="7DB5C097" w:rsidR="0098036B" w:rsidRDefault="0098036B" w:rsidP="0098036B">
      <w:pPr>
        <w:pStyle w:val="Text"/>
      </w:pPr>
    </w:p>
    <w:p w14:paraId="40AA5C90" w14:textId="62ADD5F4" w:rsidR="0098036B" w:rsidRDefault="0098036B" w:rsidP="0098036B">
      <w:pPr>
        <w:pStyle w:val="Text"/>
      </w:pPr>
    </w:p>
    <w:p w14:paraId="41F5E315" w14:textId="1115769F" w:rsidR="0098036B" w:rsidRDefault="0098036B" w:rsidP="0098036B">
      <w:pPr>
        <w:pStyle w:val="Text"/>
      </w:pPr>
    </w:p>
    <w:p w14:paraId="7F746B01" w14:textId="77777777" w:rsidR="0098036B" w:rsidRDefault="0098036B" w:rsidP="0098036B">
      <w:pPr>
        <w:pStyle w:val="Text"/>
        <w:rPr>
          <w:rStyle w:val="Emphasis"/>
        </w:rPr>
      </w:pPr>
    </w:p>
    <w:p w14:paraId="4B623DC7" w14:textId="77777777" w:rsidR="00F0382F" w:rsidRPr="00F0382F" w:rsidRDefault="00F0382F" w:rsidP="00F0382F">
      <w:pPr>
        <w:spacing w:before="360"/>
        <w:rPr>
          <w:rStyle w:val="Emphasis"/>
        </w:rPr>
      </w:pPr>
      <w:r w:rsidRPr="00F0382F">
        <w:rPr>
          <w:rStyle w:val="Emphasis"/>
        </w:rPr>
        <w:lastRenderedPageBreak/>
        <w:t>GOVERNANCE AND ACCOUNTABILITY</w:t>
      </w:r>
    </w:p>
    <w:p w14:paraId="12E8C660" w14:textId="77777777" w:rsidR="00F0382F" w:rsidRPr="00F0382F" w:rsidRDefault="00F0382F" w:rsidP="00F0382F">
      <w:pPr>
        <w:pStyle w:val="Text"/>
      </w:pPr>
      <w:r w:rsidRPr="00F0382F">
        <w:t>Good governance and accountability need and support each other and, if done well, enhance the public’s trust in our public sector. Good governance encourages and can result in good accountability. In turn, accountability is a vi</w:t>
      </w:r>
      <w:r>
        <w:t>tal element of good governance.</w:t>
      </w:r>
    </w:p>
    <w:p w14:paraId="070F0481" w14:textId="77777777" w:rsidR="00F0382F" w:rsidRPr="00F0382F" w:rsidRDefault="00F0382F" w:rsidP="00F0382F">
      <w:pPr>
        <w:pStyle w:val="Text"/>
      </w:pPr>
      <w:r w:rsidRPr="00F0382F">
        <w:t>The Auditor-General has published a report, Reflections from our audits: Governance and accountability. This report reflects on common issues, and highlights examples of good and emerging practise, which public entities can use to help improve their governance and accountability arrangements. It also identifies eight elements of good governance and looks at some trends that present new challenges and opportunitie</w:t>
      </w:r>
      <w:r>
        <w:t>s for enhancing accountability.</w:t>
      </w:r>
    </w:p>
    <w:p w14:paraId="662C821B" w14:textId="77777777" w:rsidR="00F0382F" w:rsidRPr="006A3E78" w:rsidRDefault="00F0382F" w:rsidP="00F0382F">
      <w:pPr>
        <w:pStyle w:val="Text"/>
      </w:pPr>
      <w:r w:rsidRPr="00F0382F">
        <w:t xml:space="preserve">We encourage you to use the findings and examples </w:t>
      </w:r>
      <w:r w:rsidR="00195AC7">
        <w:t xml:space="preserve">in this report to consider the </w:t>
      </w:r>
      <w:r w:rsidRPr="00F0382F">
        <w:t xml:space="preserve">School’s governance and accountability arrangements. This report is available on the OAG website at </w:t>
      </w:r>
      <w:hyperlink r:id="rId19" w:history="1">
        <w:r w:rsidRPr="00F0382F">
          <w:t>www.oag.govt.nz/2016/reflections</w:t>
        </w:r>
      </w:hyperlink>
      <w:r w:rsidR="00C976A1">
        <w:t xml:space="preserve"> </w:t>
      </w:r>
    </w:p>
    <w:p w14:paraId="54883D51" w14:textId="77777777" w:rsidR="00BC26C1" w:rsidRDefault="00BC26C1">
      <w:pPr>
        <w:rPr>
          <w:rFonts w:ascii="Trebuchet MS" w:hAnsi="Trebuchet MS"/>
          <w:b/>
          <w:color w:val="218F8B" w:themeColor="accent2"/>
          <w:sz w:val="32"/>
          <w:lang w:val="en-AU"/>
        </w:rPr>
      </w:pPr>
      <w:bookmarkStart w:id="9" w:name="_Toc268704170"/>
      <w:r>
        <w:br w:type="page"/>
      </w:r>
    </w:p>
    <w:p w14:paraId="09A541C4" w14:textId="77777777" w:rsidR="00E672A8" w:rsidRPr="007D5054" w:rsidRDefault="00E672A8" w:rsidP="000C3CFA">
      <w:pPr>
        <w:pStyle w:val="Heading1"/>
        <w:ind w:hanging="720"/>
      </w:pPr>
      <w:bookmarkStart w:id="10" w:name="_Toc41313810"/>
      <w:r w:rsidRPr="007D5054">
        <w:lastRenderedPageBreak/>
        <w:t>KEY FINANCIAL STATEMENT AUDIT RISKS</w:t>
      </w:r>
      <w:bookmarkEnd w:id="9"/>
      <w:r w:rsidRPr="007D5054">
        <w:t xml:space="preserve"> AND AREAS OF AUDIT EMPHASIS</w:t>
      </w:r>
      <w:bookmarkEnd w:id="10"/>
    </w:p>
    <w:p w14:paraId="23D8C0EA" w14:textId="77777777" w:rsidR="00E672A8" w:rsidRDefault="00E672A8" w:rsidP="00493AB4">
      <w:pPr>
        <w:pStyle w:val="Text"/>
      </w:pPr>
      <w:r w:rsidRPr="00E672A8">
        <w:t xml:space="preserve">Our audit procedures were focused on those </w:t>
      </w:r>
      <w:r w:rsidRPr="00660704">
        <w:t xml:space="preserve">areas of the </w:t>
      </w:r>
      <w:r w:rsidR="000C3CFA">
        <w:t>School</w:t>
      </w:r>
      <w:r w:rsidRPr="00660704">
        <w:t>’s activities</w:t>
      </w:r>
      <w:r w:rsidRPr="00E672A8">
        <w:t xml:space="preserve"> that are considered to represent the key audit risks identified during the risk assessment process undertaken and communicated with you through the audit arrangements letter at the planning phase of the audit. Below we present a summary of the identified key areas of risk and audit emphasis and our conclusions in relation to each matter. We are satisfied that these areas have been satisfactorily addressed through our audit processes.</w:t>
      </w:r>
    </w:p>
    <w:p w14:paraId="4D6D9A23" w14:textId="77777777" w:rsidR="00337514" w:rsidRDefault="00337514" w:rsidP="00493AB4">
      <w:pPr>
        <w:pStyle w:val="Text"/>
      </w:pPr>
    </w:p>
    <w:tbl>
      <w:tblPr>
        <w:tblStyle w:val="BDOTableStyle"/>
        <w:tblW w:w="13041" w:type="dxa"/>
        <w:tblLook w:val="04A0" w:firstRow="1" w:lastRow="0" w:firstColumn="1" w:lastColumn="0" w:noHBand="0" w:noVBand="1"/>
      </w:tblPr>
      <w:tblGrid>
        <w:gridCol w:w="5529"/>
        <w:gridCol w:w="7512"/>
      </w:tblGrid>
      <w:tr w:rsidR="00337514" w14:paraId="3DA2A8A3" w14:textId="77777777" w:rsidTr="005924D4">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00BF1559" w14:textId="77777777" w:rsidR="00337514" w:rsidRDefault="00660704" w:rsidP="00337514">
            <w:pPr>
              <w:pStyle w:val="TableSubheading"/>
            </w:pPr>
            <w:r w:rsidRPr="00660704">
              <w:t>Locally Raised Funds</w:t>
            </w:r>
          </w:p>
        </w:tc>
      </w:tr>
      <w:tr w:rsidR="00337514" w14:paraId="3E7BFFFA" w14:textId="77777777" w:rsidTr="00897238">
        <w:trPr>
          <w:cnfStyle w:val="000000100000" w:firstRow="0" w:lastRow="0" w:firstColumn="0" w:lastColumn="0" w:oddVBand="0" w:evenVBand="0" w:oddHBand="1" w:evenHBand="0" w:firstRowFirstColumn="0" w:firstRowLastColumn="0" w:lastRowFirstColumn="0" w:lastRowLastColumn="0"/>
        </w:trPr>
        <w:tc>
          <w:tcPr>
            <w:tcW w:w="5529" w:type="dxa"/>
          </w:tcPr>
          <w:p w14:paraId="242C3CA0" w14:textId="77777777" w:rsidR="00337514" w:rsidRPr="003F7898" w:rsidRDefault="00337514" w:rsidP="00193446">
            <w:pPr>
              <w:pStyle w:val="TableSubheading"/>
            </w:pPr>
            <w:r w:rsidRPr="003F7898">
              <w:t>Area of Audit Emphasis</w:t>
            </w:r>
          </w:p>
        </w:tc>
        <w:tc>
          <w:tcPr>
            <w:tcW w:w="7512" w:type="dxa"/>
          </w:tcPr>
          <w:p w14:paraId="501E8909" w14:textId="77777777" w:rsidR="00337514" w:rsidRPr="003F7898" w:rsidRDefault="00337514" w:rsidP="00193446">
            <w:pPr>
              <w:pStyle w:val="TableSubheading"/>
            </w:pPr>
            <w:r w:rsidRPr="003F7898">
              <w:t>Conclusion</w:t>
            </w:r>
            <w:r>
              <w:t>/Response</w:t>
            </w:r>
          </w:p>
        </w:tc>
      </w:tr>
      <w:tr w:rsidR="00337514" w14:paraId="11CFD971" w14:textId="77777777" w:rsidTr="00897238">
        <w:tc>
          <w:tcPr>
            <w:tcW w:w="5529" w:type="dxa"/>
          </w:tcPr>
          <w:p w14:paraId="3617EE44" w14:textId="77777777" w:rsidR="00FF4E9B" w:rsidRPr="0098036B" w:rsidRDefault="00FF4E9B" w:rsidP="00193446">
            <w:pPr>
              <w:pStyle w:val="Text"/>
            </w:pPr>
            <w:r w:rsidRPr="0098036B">
              <w:t>Due to the nature of locally raised funds (often being cash), there is a risk of material misstatement around the completeness of locally raised funds income.</w:t>
            </w:r>
          </w:p>
        </w:tc>
        <w:tc>
          <w:tcPr>
            <w:tcW w:w="7512" w:type="dxa"/>
          </w:tcPr>
          <w:p w14:paraId="4F1C7561" w14:textId="77777777" w:rsidR="00FF4E9B" w:rsidRPr="0098036B" w:rsidRDefault="00FF4E9B" w:rsidP="00193446">
            <w:pPr>
              <w:pStyle w:val="Text"/>
            </w:pPr>
            <w:r w:rsidRPr="0098036B">
              <w:t>From our audit work performed we found no issues regarding locally raised funds income or expense balances in the financial statements.</w:t>
            </w:r>
            <w:r w:rsidR="00664E6D" w:rsidRPr="0098036B">
              <w:t xml:space="preserve"> </w:t>
            </w:r>
          </w:p>
        </w:tc>
      </w:tr>
    </w:tbl>
    <w:p w14:paraId="6DD5774D" w14:textId="77777777" w:rsidR="00664E6D" w:rsidRDefault="00664E6D" w:rsidP="00493AB4">
      <w:pPr>
        <w:pStyle w:val="Text"/>
      </w:pPr>
    </w:p>
    <w:tbl>
      <w:tblPr>
        <w:tblStyle w:val="BDOTableStyle"/>
        <w:tblW w:w="13041" w:type="dxa"/>
        <w:tblLook w:val="04A0" w:firstRow="1" w:lastRow="0" w:firstColumn="1" w:lastColumn="0" w:noHBand="0" w:noVBand="1"/>
      </w:tblPr>
      <w:tblGrid>
        <w:gridCol w:w="5529"/>
        <w:gridCol w:w="7512"/>
      </w:tblGrid>
      <w:tr w:rsidR="00337514" w14:paraId="3193D346" w14:textId="77777777" w:rsidTr="005924D4">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314EA81B" w14:textId="77777777" w:rsidR="00337514" w:rsidRDefault="00FF4E9B" w:rsidP="00337514">
            <w:pPr>
              <w:pStyle w:val="TableSubheading"/>
            </w:pPr>
            <w:r w:rsidRPr="00FF4E9B">
              <w:t>Payroll not approved or checked</w:t>
            </w:r>
          </w:p>
        </w:tc>
      </w:tr>
      <w:tr w:rsidR="00337514" w14:paraId="7E9E4877" w14:textId="77777777" w:rsidTr="00897238">
        <w:trPr>
          <w:cnfStyle w:val="000000100000" w:firstRow="0" w:lastRow="0" w:firstColumn="0" w:lastColumn="0" w:oddVBand="0" w:evenVBand="0" w:oddHBand="1" w:evenHBand="0" w:firstRowFirstColumn="0" w:firstRowLastColumn="0" w:lastRowFirstColumn="0" w:lastRowLastColumn="0"/>
        </w:trPr>
        <w:tc>
          <w:tcPr>
            <w:tcW w:w="5529" w:type="dxa"/>
          </w:tcPr>
          <w:p w14:paraId="0F1CF881" w14:textId="77777777" w:rsidR="00337514" w:rsidRPr="003F7898" w:rsidRDefault="00337514" w:rsidP="00193446">
            <w:pPr>
              <w:pStyle w:val="TableSubheading"/>
            </w:pPr>
            <w:r w:rsidRPr="003F7898">
              <w:t>Area of Audit Emphasis</w:t>
            </w:r>
          </w:p>
        </w:tc>
        <w:tc>
          <w:tcPr>
            <w:tcW w:w="7512" w:type="dxa"/>
          </w:tcPr>
          <w:p w14:paraId="657618B2" w14:textId="77777777" w:rsidR="00337514" w:rsidRPr="003F7898" w:rsidRDefault="00337514" w:rsidP="00193446">
            <w:pPr>
              <w:pStyle w:val="TableSubheading"/>
            </w:pPr>
            <w:r w:rsidRPr="003F7898">
              <w:t>Conclusion</w:t>
            </w:r>
            <w:r>
              <w:t>/Response</w:t>
            </w:r>
          </w:p>
        </w:tc>
      </w:tr>
      <w:tr w:rsidR="00337514" w14:paraId="3714C6F6" w14:textId="77777777" w:rsidTr="00897238">
        <w:tc>
          <w:tcPr>
            <w:tcW w:w="5529" w:type="dxa"/>
          </w:tcPr>
          <w:p w14:paraId="194EFB56" w14:textId="77777777" w:rsidR="00FF4E9B" w:rsidRPr="0098036B" w:rsidRDefault="00FF4E9B" w:rsidP="00193446">
            <w:pPr>
              <w:pStyle w:val="Text"/>
            </w:pPr>
            <w:r w:rsidRPr="0098036B">
              <w:t xml:space="preserve">Payroll is processed by </w:t>
            </w:r>
            <w:proofErr w:type="spellStart"/>
            <w:r w:rsidRPr="0098036B">
              <w:t>Novopay</w:t>
            </w:r>
            <w:proofErr w:type="spellEnd"/>
            <w:r w:rsidRPr="0098036B">
              <w:t>. The accuracy of payroll processing is dependent on appropriate approval of payroll changes and checking of the fortnightly SUE report.</w:t>
            </w:r>
          </w:p>
        </w:tc>
        <w:tc>
          <w:tcPr>
            <w:tcW w:w="7512" w:type="dxa"/>
          </w:tcPr>
          <w:p w14:paraId="060CE0B2" w14:textId="77777777" w:rsidR="00FF4E9B" w:rsidRPr="0098036B" w:rsidRDefault="00FF4E9B" w:rsidP="00193446">
            <w:pPr>
              <w:pStyle w:val="Text"/>
            </w:pPr>
            <w:r w:rsidRPr="0098036B">
              <w:t>From our audit work performed we found no issues regarding payroll balances included in the financial statements.</w:t>
            </w:r>
          </w:p>
        </w:tc>
      </w:tr>
    </w:tbl>
    <w:p w14:paraId="33218AFB" w14:textId="77777777" w:rsidR="00337514" w:rsidRDefault="00337514" w:rsidP="00493AB4">
      <w:pPr>
        <w:pStyle w:val="Text"/>
      </w:pPr>
    </w:p>
    <w:p w14:paraId="28DDA131" w14:textId="77777777" w:rsidR="00A25AA8" w:rsidRDefault="00A25AA8">
      <w:r>
        <w:br w:type="page"/>
      </w:r>
    </w:p>
    <w:tbl>
      <w:tblPr>
        <w:tblStyle w:val="BDOTableStyle"/>
        <w:tblW w:w="13041" w:type="dxa"/>
        <w:tblLook w:val="04A0" w:firstRow="1" w:lastRow="0" w:firstColumn="1" w:lastColumn="0" w:noHBand="0" w:noVBand="1"/>
      </w:tblPr>
      <w:tblGrid>
        <w:gridCol w:w="5529"/>
        <w:gridCol w:w="7512"/>
      </w:tblGrid>
      <w:tr w:rsidR="00337514" w:rsidRPr="003B64C8" w14:paraId="434036AB" w14:textId="77777777" w:rsidTr="005924D4">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597D9EC1" w14:textId="77777777" w:rsidR="00337514" w:rsidRPr="003B64C8" w:rsidRDefault="00FF4E9B" w:rsidP="00337514">
            <w:pPr>
              <w:pStyle w:val="TableSubheading"/>
            </w:pPr>
            <w:r w:rsidRPr="003B64C8">
              <w:lastRenderedPageBreak/>
              <w:t>Cyclical Maintenance Provision</w:t>
            </w:r>
          </w:p>
        </w:tc>
      </w:tr>
      <w:tr w:rsidR="00337514" w:rsidRPr="003B64C8" w14:paraId="4A81845C" w14:textId="77777777" w:rsidTr="00897238">
        <w:trPr>
          <w:cnfStyle w:val="000000100000" w:firstRow="0" w:lastRow="0" w:firstColumn="0" w:lastColumn="0" w:oddVBand="0" w:evenVBand="0" w:oddHBand="1" w:evenHBand="0" w:firstRowFirstColumn="0" w:firstRowLastColumn="0" w:lastRowFirstColumn="0" w:lastRowLastColumn="0"/>
        </w:trPr>
        <w:tc>
          <w:tcPr>
            <w:tcW w:w="5529" w:type="dxa"/>
          </w:tcPr>
          <w:p w14:paraId="117E0ED2" w14:textId="77777777" w:rsidR="00337514" w:rsidRPr="003B64C8" w:rsidRDefault="00337514" w:rsidP="00193446">
            <w:pPr>
              <w:pStyle w:val="TableSubheading"/>
            </w:pPr>
            <w:r w:rsidRPr="003B64C8">
              <w:t>Area of Audit Emphasis</w:t>
            </w:r>
          </w:p>
        </w:tc>
        <w:tc>
          <w:tcPr>
            <w:tcW w:w="7512" w:type="dxa"/>
          </w:tcPr>
          <w:p w14:paraId="2C0B59D1" w14:textId="77777777" w:rsidR="00337514" w:rsidRPr="003B64C8" w:rsidRDefault="00337514" w:rsidP="00193446">
            <w:pPr>
              <w:pStyle w:val="TableSubheading"/>
            </w:pPr>
            <w:r w:rsidRPr="003B64C8">
              <w:t>Conclusion/Response</w:t>
            </w:r>
          </w:p>
        </w:tc>
      </w:tr>
      <w:tr w:rsidR="00337514" w14:paraId="6728E929" w14:textId="77777777" w:rsidTr="00897238">
        <w:tc>
          <w:tcPr>
            <w:tcW w:w="5529" w:type="dxa"/>
          </w:tcPr>
          <w:p w14:paraId="65BFAAAA" w14:textId="77777777" w:rsidR="00FF4E9B" w:rsidRPr="0098036B" w:rsidRDefault="00FF4E9B" w:rsidP="00193446">
            <w:pPr>
              <w:pStyle w:val="Text"/>
            </w:pPr>
            <w:r w:rsidRPr="0098036B">
              <w:t xml:space="preserve">Cyclical Maintenance is an area of judgment and could lead to material misstatement in the financial statements. For </w:t>
            </w:r>
            <w:r w:rsidR="000C3CFA" w:rsidRPr="0098036B">
              <w:t>School</w:t>
            </w:r>
            <w:r w:rsidRPr="0098036B">
              <w:t>s to be able to calculate the appropriate cyclical maintenance provision a 10 Year Property Plan (10YPP) needs to be prepared and/or reviewed by an expert.</w:t>
            </w:r>
          </w:p>
        </w:tc>
        <w:tc>
          <w:tcPr>
            <w:tcW w:w="7512" w:type="dxa"/>
            <w:shd w:val="clear" w:color="auto" w:fill="auto"/>
          </w:tcPr>
          <w:p w14:paraId="05033585" w14:textId="77777777" w:rsidR="003B64C8" w:rsidRPr="0098036B" w:rsidRDefault="003B64C8" w:rsidP="00193446">
            <w:pPr>
              <w:pStyle w:val="Text"/>
            </w:pPr>
            <w:r w:rsidRPr="0098036B">
              <w:t>From our audit work performed, there were no issues regarding the provision for Cyclical Maintenance in the Financial Statements.</w:t>
            </w:r>
          </w:p>
        </w:tc>
      </w:tr>
    </w:tbl>
    <w:p w14:paraId="2785AC6D" w14:textId="77777777" w:rsidR="00337514" w:rsidRDefault="00337514" w:rsidP="00493AB4">
      <w:pPr>
        <w:pStyle w:val="Text"/>
      </w:pPr>
    </w:p>
    <w:tbl>
      <w:tblPr>
        <w:tblStyle w:val="BDOTableStyle"/>
        <w:tblW w:w="13041" w:type="dxa"/>
        <w:tblLook w:val="04A0" w:firstRow="1" w:lastRow="0" w:firstColumn="1" w:lastColumn="0" w:noHBand="0" w:noVBand="1"/>
      </w:tblPr>
      <w:tblGrid>
        <w:gridCol w:w="5529"/>
        <w:gridCol w:w="7512"/>
      </w:tblGrid>
      <w:tr w:rsidR="00897238" w:rsidRPr="003B64C8" w14:paraId="54CFE2CD" w14:textId="77777777" w:rsidTr="005261DB">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4E34A5F7" w14:textId="77777777" w:rsidR="00897238" w:rsidRPr="008321B7" w:rsidRDefault="00897238" w:rsidP="005261DB">
            <w:pPr>
              <w:pStyle w:val="TableSubheading"/>
            </w:pPr>
            <w:r w:rsidRPr="008321B7">
              <w:t>Management Override</w:t>
            </w:r>
          </w:p>
        </w:tc>
      </w:tr>
      <w:tr w:rsidR="00897238" w:rsidRPr="003B64C8" w14:paraId="6C70EB32" w14:textId="77777777" w:rsidTr="005261DB">
        <w:trPr>
          <w:cnfStyle w:val="000000100000" w:firstRow="0" w:lastRow="0" w:firstColumn="0" w:lastColumn="0" w:oddVBand="0" w:evenVBand="0" w:oddHBand="1" w:evenHBand="0" w:firstRowFirstColumn="0" w:firstRowLastColumn="0" w:lastRowFirstColumn="0" w:lastRowLastColumn="0"/>
        </w:trPr>
        <w:tc>
          <w:tcPr>
            <w:tcW w:w="5529" w:type="dxa"/>
          </w:tcPr>
          <w:p w14:paraId="463CA5CB" w14:textId="77777777" w:rsidR="00897238" w:rsidRPr="008321B7" w:rsidRDefault="00897238" w:rsidP="005261DB">
            <w:pPr>
              <w:pStyle w:val="TableSubheading"/>
            </w:pPr>
            <w:r w:rsidRPr="008321B7">
              <w:t>Area of Audit Emphasis</w:t>
            </w:r>
          </w:p>
        </w:tc>
        <w:tc>
          <w:tcPr>
            <w:tcW w:w="7512" w:type="dxa"/>
          </w:tcPr>
          <w:p w14:paraId="1FB135FD" w14:textId="77777777" w:rsidR="00897238" w:rsidRPr="008321B7" w:rsidRDefault="00897238" w:rsidP="005261DB">
            <w:pPr>
              <w:pStyle w:val="TableSubheading"/>
            </w:pPr>
            <w:r w:rsidRPr="008321B7">
              <w:t>Conclusion/Response</w:t>
            </w:r>
          </w:p>
        </w:tc>
      </w:tr>
      <w:tr w:rsidR="00897238" w14:paraId="45B45E14" w14:textId="77777777" w:rsidTr="005261DB">
        <w:tc>
          <w:tcPr>
            <w:tcW w:w="5529" w:type="dxa"/>
          </w:tcPr>
          <w:p w14:paraId="42FBD786" w14:textId="77777777" w:rsidR="00897238" w:rsidRPr="0098036B" w:rsidRDefault="00897238" w:rsidP="005261DB">
            <w:pPr>
              <w:pStyle w:val="Text"/>
            </w:pPr>
            <w:r w:rsidRPr="0098036B">
              <w:t>There is a rebuttable presumption under the International Auditing Standards that there is a risk of management override.</w:t>
            </w:r>
          </w:p>
        </w:tc>
        <w:tc>
          <w:tcPr>
            <w:tcW w:w="7512" w:type="dxa"/>
            <w:shd w:val="clear" w:color="auto" w:fill="auto"/>
          </w:tcPr>
          <w:p w14:paraId="5287FAFB" w14:textId="77777777" w:rsidR="00897238" w:rsidRPr="0098036B" w:rsidRDefault="00897238" w:rsidP="00897238">
            <w:pPr>
              <w:pStyle w:val="Text"/>
            </w:pPr>
            <w:r w:rsidRPr="0098036B">
              <w:t>We have assessed the segregation of duties and risk of management override as part of our planning process, and concluded that the risk of fraud from management override of controls is primarily through the processing of manual journals. We have used a risk based approach to testing manual journals, and focused on any areas where a risk of judgement, estimation or cut-off risk exists with management override in mind.</w:t>
            </w:r>
            <w:r w:rsidR="00091FA3" w:rsidRPr="0098036B">
              <w:t xml:space="preserve"> No issues with management override we noted.</w:t>
            </w:r>
          </w:p>
        </w:tc>
      </w:tr>
    </w:tbl>
    <w:p w14:paraId="3389F883" w14:textId="77777777" w:rsidR="00897238" w:rsidRDefault="00897238" w:rsidP="00493AB4">
      <w:pPr>
        <w:pStyle w:val="Text"/>
      </w:pPr>
    </w:p>
    <w:p w14:paraId="4F0F8BDC" w14:textId="77777777" w:rsidR="00E672A8" w:rsidRPr="00F80CBD" w:rsidRDefault="00E672A8" w:rsidP="00664E6D">
      <w:pPr>
        <w:pStyle w:val="Heading1"/>
        <w:ind w:hanging="720"/>
      </w:pPr>
      <w:r w:rsidRPr="00F80CBD">
        <w:br w:type="page"/>
      </w:r>
      <w:bookmarkStart w:id="11" w:name="_Toc41313811"/>
      <w:r w:rsidRPr="00A075FF">
        <w:lastRenderedPageBreak/>
        <w:t>INTERNAL</w:t>
      </w:r>
      <w:r w:rsidRPr="00F80CBD">
        <w:t xml:space="preserve"> CONTROL AND OTHER AUDIT FINDINGS</w:t>
      </w:r>
      <w:bookmarkEnd w:id="11"/>
    </w:p>
    <w:p w14:paraId="227561B2" w14:textId="77777777" w:rsidR="00E672A8" w:rsidRPr="00E672A8" w:rsidRDefault="00E672A8" w:rsidP="00493AB4">
      <w:pPr>
        <w:pStyle w:val="Text"/>
      </w:pPr>
      <w:r w:rsidRPr="00E672A8">
        <w:t>This section of the report sets out the key internal control findings we have identified during the course of the audit and highlights control deficiencies requiring management attention.</w:t>
      </w:r>
      <w:r w:rsidR="00664E6D">
        <w:t xml:space="preserve"> </w:t>
      </w:r>
      <w:r w:rsidRPr="00E672A8">
        <w:t xml:space="preserve">Our work has been limited to those controls relevant to the audit of your statutory </w:t>
      </w:r>
      <w:r w:rsidR="00BB3EFB">
        <w:t>financial statements.</w:t>
      </w:r>
      <w:r w:rsidR="00664E6D">
        <w:t xml:space="preserve"> </w:t>
      </w:r>
      <w:r w:rsidR="00BB3EFB">
        <w:t>The purpose of our audit work</w:t>
      </w:r>
      <w:r w:rsidRPr="00E672A8">
        <w:t xml:space="preserve"> on controls is not to provide assurance in its own right on the internal controls and therefore </w:t>
      </w:r>
      <w:r w:rsidR="00BB3EFB">
        <w:t>we may</w:t>
      </w:r>
      <w:r w:rsidRPr="00E672A8">
        <w:t xml:space="preserve"> not necessarily disclose all matters that might be significant deficiencies or deficiencies that heighten the risk of a fraud being perpetrated. </w:t>
      </w:r>
    </w:p>
    <w:p w14:paraId="6B376844" w14:textId="45DD9238" w:rsidR="003F7898" w:rsidRDefault="003F7898" w:rsidP="00493AB4">
      <w:pPr>
        <w:pStyle w:val="Text"/>
      </w:pPr>
    </w:p>
    <w:tbl>
      <w:tblPr>
        <w:tblStyle w:val="BDOTableStyle"/>
        <w:tblW w:w="13041" w:type="dxa"/>
        <w:tblLook w:val="04A0" w:firstRow="1" w:lastRow="0" w:firstColumn="1" w:lastColumn="0" w:noHBand="0" w:noVBand="1"/>
      </w:tblPr>
      <w:tblGrid>
        <w:gridCol w:w="4252"/>
        <w:gridCol w:w="8789"/>
      </w:tblGrid>
      <w:tr w:rsidR="00337514" w14:paraId="1177D471" w14:textId="77777777" w:rsidTr="005924D4">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47A7F53C" w14:textId="6FA1A7A8" w:rsidR="00337514" w:rsidRDefault="0098036B" w:rsidP="00337514">
            <w:pPr>
              <w:pStyle w:val="TableSubheading"/>
            </w:pPr>
            <w:r>
              <w:t>Significant percentage of operations grant funding salaries</w:t>
            </w:r>
          </w:p>
        </w:tc>
      </w:tr>
      <w:tr w:rsidR="00337514" w14:paraId="486B436E" w14:textId="77777777" w:rsidTr="005924D4">
        <w:trPr>
          <w:cnfStyle w:val="000000100000" w:firstRow="0" w:lastRow="0" w:firstColumn="0" w:lastColumn="0" w:oddVBand="0" w:evenVBand="0" w:oddHBand="1" w:evenHBand="0" w:firstRowFirstColumn="0" w:firstRowLastColumn="0" w:lastRowFirstColumn="0" w:lastRowLastColumn="0"/>
        </w:trPr>
        <w:tc>
          <w:tcPr>
            <w:tcW w:w="4252" w:type="dxa"/>
            <w:shd w:val="clear" w:color="auto" w:fill="98002E" w:themeFill="accent6"/>
          </w:tcPr>
          <w:p w14:paraId="3D1DBE21" w14:textId="77777777" w:rsidR="00337514" w:rsidRPr="003F7898" w:rsidRDefault="00337514" w:rsidP="00193446">
            <w:pPr>
              <w:pStyle w:val="TableSubheading"/>
            </w:pPr>
            <w:r>
              <w:t>Finding</w:t>
            </w:r>
          </w:p>
        </w:tc>
        <w:tc>
          <w:tcPr>
            <w:tcW w:w="8789" w:type="dxa"/>
            <w:shd w:val="clear" w:color="auto" w:fill="98002E" w:themeFill="accent6"/>
          </w:tcPr>
          <w:p w14:paraId="3913D1FA" w14:textId="77777777" w:rsidR="00337514" w:rsidRPr="003F7898" w:rsidRDefault="00337514" w:rsidP="005C3AD8">
            <w:pPr>
              <w:pStyle w:val="TableSubheading"/>
            </w:pPr>
            <w:r w:rsidRPr="003F7898">
              <w:t>Conclusion</w:t>
            </w:r>
          </w:p>
        </w:tc>
      </w:tr>
      <w:tr w:rsidR="00337514" w14:paraId="44B09784" w14:textId="77777777" w:rsidTr="005924D4">
        <w:tc>
          <w:tcPr>
            <w:tcW w:w="4252" w:type="dxa"/>
          </w:tcPr>
          <w:p w14:paraId="63792CA4" w14:textId="77777777" w:rsidR="0098036B" w:rsidRDefault="0098036B" w:rsidP="0098036B">
            <w:pPr>
              <w:pStyle w:val="Text"/>
            </w:pPr>
            <w:r>
              <w:t>From discussions with the Ministry of Education, we note that the average school uses around 50-55% of its operations grant to fund salaries.</w:t>
            </w:r>
          </w:p>
          <w:p w14:paraId="3AB27901" w14:textId="606464DC" w:rsidR="0098036B" w:rsidRDefault="0098036B" w:rsidP="0098036B">
            <w:pPr>
              <w:pStyle w:val="Text"/>
            </w:pPr>
            <w:r>
              <w:t>Your school used 83% of its operations grant to fund salaries in the 201</w:t>
            </w:r>
            <w:r w:rsidR="009A67CC">
              <w:t>9</w:t>
            </w:r>
            <w:r>
              <w:t xml:space="preserve"> year, which is significantly higher than the national average.</w:t>
            </w:r>
          </w:p>
          <w:p w14:paraId="5606A41B" w14:textId="2061C7F3" w:rsidR="00337514" w:rsidRDefault="00337514" w:rsidP="00193446">
            <w:pPr>
              <w:pStyle w:val="Text"/>
            </w:pPr>
          </w:p>
        </w:tc>
        <w:tc>
          <w:tcPr>
            <w:tcW w:w="8789" w:type="dxa"/>
          </w:tcPr>
          <w:p w14:paraId="4D0BC770" w14:textId="77777777" w:rsidR="0098036B" w:rsidRDefault="0098036B" w:rsidP="0098036B">
            <w:pPr>
              <w:pStyle w:val="Text"/>
            </w:pPr>
            <w:r>
              <w:t>Using a high proportion of the operations grant to fund salaries creates a potential risk that there may not be enough operations grant left over to fund other school expenses.</w:t>
            </w:r>
          </w:p>
          <w:p w14:paraId="57EEFDC9" w14:textId="77777777" w:rsidR="0098036B" w:rsidRDefault="0098036B" w:rsidP="0098036B">
            <w:pPr>
              <w:pStyle w:val="Text"/>
            </w:pPr>
            <w:r>
              <w:t xml:space="preserve">It is the school’s choice how to allocate operations grant funding, and there are </w:t>
            </w:r>
            <w:proofErr w:type="gramStart"/>
            <w:r>
              <w:t>a number of</w:t>
            </w:r>
            <w:proofErr w:type="gramEnd"/>
            <w:r>
              <w:t xml:space="preserve"> reasons why a school could choose to fund additional salaries through the operations grant. We raise this not as a recommendation for change, but as a point for discussion for the Board of Trustees, to ensure you are aware of it.</w:t>
            </w:r>
          </w:p>
          <w:p w14:paraId="57D29525" w14:textId="77777777" w:rsidR="00337514" w:rsidRDefault="00337514" w:rsidP="00193446">
            <w:pPr>
              <w:pStyle w:val="Text"/>
            </w:pPr>
          </w:p>
        </w:tc>
      </w:tr>
    </w:tbl>
    <w:p w14:paraId="45B16C15" w14:textId="77777777" w:rsidR="00337514" w:rsidRDefault="00337514" w:rsidP="00493AB4">
      <w:pPr>
        <w:pStyle w:val="Text"/>
      </w:pPr>
    </w:p>
    <w:tbl>
      <w:tblPr>
        <w:tblStyle w:val="BDOTableStyle"/>
        <w:tblW w:w="13041" w:type="dxa"/>
        <w:tblLook w:val="04A0" w:firstRow="1" w:lastRow="0" w:firstColumn="1" w:lastColumn="0" w:noHBand="0" w:noVBand="1"/>
      </w:tblPr>
      <w:tblGrid>
        <w:gridCol w:w="4252"/>
        <w:gridCol w:w="8789"/>
      </w:tblGrid>
      <w:tr w:rsidR="00337514" w14:paraId="1A7029A5" w14:textId="77777777" w:rsidTr="005924D4">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428C4642" w14:textId="3D694070" w:rsidR="00337514" w:rsidRDefault="009A67CC" w:rsidP="00193446">
            <w:pPr>
              <w:pStyle w:val="TableSubheading"/>
            </w:pPr>
            <w:r>
              <w:t>Credit card expenditure not signed as approved</w:t>
            </w:r>
          </w:p>
        </w:tc>
      </w:tr>
      <w:tr w:rsidR="00337514" w14:paraId="063748CE" w14:textId="77777777" w:rsidTr="005924D4">
        <w:trPr>
          <w:cnfStyle w:val="000000100000" w:firstRow="0" w:lastRow="0" w:firstColumn="0" w:lastColumn="0" w:oddVBand="0" w:evenVBand="0" w:oddHBand="1" w:evenHBand="0" w:firstRowFirstColumn="0" w:firstRowLastColumn="0" w:lastRowFirstColumn="0" w:lastRowLastColumn="0"/>
        </w:trPr>
        <w:tc>
          <w:tcPr>
            <w:tcW w:w="4252" w:type="dxa"/>
            <w:shd w:val="clear" w:color="auto" w:fill="98002E" w:themeFill="accent6"/>
          </w:tcPr>
          <w:p w14:paraId="5BFA6659" w14:textId="77777777" w:rsidR="00337514" w:rsidRPr="003F7898" w:rsidRDefault="00337514" w:rsidP="00193446">
            <w:pPr>
              <w:pStyle w:val="TableSubheading"/>
            </w:pPr>
            <w:r>
              <w:t>Finding</w:t>
            </w:r>
          </w:p>
        </w:tc>
        <w:tc>
          <w:tcPr>
            <w:tcW w:w="8789" w:type="dxa"/>
            <w:shd w:val="clear" w:color="auto" w:fill="98002E" w:themeFill="accent6"/>
          </w:tcPr>
          <w:p w14:paraId="30354225" w14:textId="77777777" w:rsidR="00337514" w:rsidRPr="003F7898" w:rsidRDefault="00337514" w:rsidP="005C3AD8">
            <w:pPr>
              <w:pStyle w:val="TableSubheading"/>
            </w:pPr>
            <w:r w:rsidRPr="003F7898">
              <w:t>Conclusion</w:t>
            </w:r>
          </w:p>
        </w:tc>
      </w:tr>
      <w:tr w:rsidR="00337514" w14:paraId="429C5B2D" w14:textId="77777777" w:rsidTr="005924D4">
        <w:tc>
          <w:tcPr>
            <w:tcW w:w="4252" w:type="dxa"/>
          </w:tcPr>
          <w:p w14:paraId="11F0C5A1" w14:textId="7E93A1B0" w:rsidR="00337514" w:rsidRDefault="009A67CC" w:rsidP="00193446">
            <w:pPr>
              <w:pStyle w:val="Text"/>
            </w:pPr>
            <w:r>
              <w:t xml:space="preserve">During our audit we found that not all credit card statements are signed as evidence of independent review and approval. </w:t>
            </w:r>
          </w:p>
        </w:tc>
        <w:tc>
          <w:tcPr>
            <w:tcW w:w="8789" w:type="dxa"/>
          </w:tcPr>
          <w:p w14:paraId="6F708BC2" w14:textId="32181F9A" w:rsidR="00337514" w:rsidRDefault="009A67CC" w:rsidP="00193446">
            <w:pPr>
              <w:pStyle w:val="Text"/>
            </w:pPr>
            <w:r>
              <w:t xml:space="preserve">If credit card statements are not signed and approved, any unauthorised and inappropriate spending may go undetected. </w:t>
            </w:r>
          </w:p>
          <w:p w14:paraId="5CDA6D34" w14:textId="468127D0" w:rsidR="009A67CC" w:rsidRDefault="009A67CC" w:rsidP="00193446">
            <w:pPr>
              <w:pStyle w:val="Text"/>
            </w:pPr>
            <w:r>
              <w:lastRenderedPageBreak/>
              <w:t>We recommend that you apply a “one-up” principle of approving credit card expenditure. We suggest that the principal’s monthly credit card expenses be approved by the Board or finance sub-committee.</w:t>
            </w:r>
          </w:p>
        </w:tc>
      </w:tr>
    </w:tbl>
    <w:p w14:paraId="0362ADC9" w14:textId="77777777" w:rsidR="00337514" w:rsidRDefault="00337514" w:rsidP="00493AB4">
      <w:pPr>
        <w:pStyle w:val="Text"/>
      </w:pPr>
    </w:p>
    <w:tbl>
      <w:tblPr>
        <w:tblStyle w:val="BDOTableStyle"/>
        <w:tblW w:w="13041" w:type="dxa"/>
        <w:tblLook w:val="04A0" w:firstRow="1" w:lastRow="0" w:firstColumn="1" w:lastColumn="0" w:noHBand="0" w:noVBand="1"/>
      </w:tblPr>
      <w:tblGrid>
        <w:gridCol w:w="4252"/>
        <w:gridCol w:w="8789"/>
      </w:tblGrid>
      <w:tr w:rsidR="00FF2963" w14:paraId="5FBF038E" w14:textId="77777777" w:rsidTr="00BC1428">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7493A8C8" w14:textId="77777777" w:rsidR="00FF2963" w:rsidRDefault="00FF2963" w:rsidP="00BC1428">
            <w:pPr>
              <w:pStyle w:val="TableSubheading"/>
            </w:pPr>
            <w:r>
              <w:t>Annual report not available on the school website</w:t>
            </w:r>
          </w:p>
        </w:tc>
      </w:tr>
      <w:tr w:rsidR="00FF2963" w14:paraId="57E9D116" w14:textId="77777777" w:rsidTr="00FF2963">
        <w:trPr>
          <w:cnfStyle w:val="000000100000" w:firstRow="0" w:lastRow="0" w:firstColumn="0" w:lastColumn="0" w:oddVBand="0" w:evenVBand="0" w:oddHBand="1" w:evenHBand="0" w:firstRowFirstColumn="0" w:firstRowLastColumn="0" w:lastRowFirstColumn="0" w:lastRowLastColumn="0"/>
        </w:trPr>
        <w:tc>
          <w:tcPr>
            <w:tcW w:w="4252" w:type="dxa"/>
            <w:shd w:val="clear" w:color="auto" w:fill="98002E" w:themeFill="accent6"/>
          </w:tcPr>
          <w:p w14:paraId="3DF84503" w14:textId="77777777" w:rsidR="00FF2963" w:rsidRPr="003F7898" w:rsidRDefault="00FF2963" w:rsidP="00BC1428">
            <w:pPr>
              <w:pStyle w:val="TableSubheading"/>
            </w:pPr>
            <w:r>
              <w:t>Finding</w:t>
            </w:r>
          </w:p>
        </w:tc>
        <w:tc>
          <w:tcPr>
            <w:tcW w:w="8789" w:type="dxa"/>
            <w:shd w:val="clear" w:color="auto" w:fill="98002E" w:themeFill="accent6"/>
          </w:tcPr>
          <w:p w14:paraId="787C698A" w14:textId="77777777" w:rsidR="00FF2963" w:rsidRPr="003F7898" w:rsidRDefault="00FF2963" w:rsidP="00BC1428">
            <w:pPr>
              <w:pStyle w:val="TableSubheading"/>
            </w:pPr>
            <w:r w:rsidRPr="003F7898">
              <w:t>Conclusion</w:t>
            </w:r>
          </w:p>
        </w:tc>
      </w:tr>
      <w:tr w:rsidR="00FF2963" w14:paraId="4A27442A" w14:textId="77777777" w:rsidTr="00BC1428">
        <w:tc>
          <w:tcPr>
            <w:tcW w:w="4252" w:type="dxa"/>
          </w:tcPr>
          <w:p w14:paraId="6C5E708C" w14:textId="77777777" w:rsidR="00FF2963" w:rsidRDefault="00FF2963" w:rsidP="00BC1428">
            <w:pPr>
              <w:pStyle w:val="Text"/>
            </w:pPr>
            <w:r>
              <w:t>Under section 87AB of the Education Act 1989, all schools are required to publish their annual report online.</w:t>
            </w:r>
          </w:p>
          <w:p w14:paraId="7E109016" w14:textId="77777777" w:rsidR="00FF2963" w:rsidRDefault="00FF2963" w:rsidP="00BC1428">
            <w:pPr>
              <w:pStyle w:val="Text"/>
            </w:pPr>
            <w:r>
              <w:t>We were not able to locate your previous year annual report on the school website.</w:t>
            </w:r>
          </w:p>
        </w:tc>
        <w:tc>
          <w:tcPr>
            <w:tcW w:w="8789" w:type="dxa"/>
          </w:tcPr>
          <w:p w14:paraId="7D23A3BD" w14:textId="77777777" w:rsidR="00FF2963" w:rsidRDefault="00FF2963" w:rsidP="00BC1428">
            <w:pPr>
              <w:pStyle w:val="Text"/>
            </w:pPr>
            <w:r>
              <w:t>Transparency and accountability are important for all public entities. Schools are funded by the community, so it is the school’s job to report back to the community in a timely way.</w:t>
            </w:r>
          </w:p>
          <w:p w14:paraId="5B4D93AD" w14:textId="77777777" w:rsidR="00FF2963" w:rsidRDefault="00FF2963" w:rsidP="00BC1428">
            <w:pPr>
              <w:pStyle w:val="Text"/>
            </w:pPr>
            <w:r>
              <w:t xml:space="preserve">We are required to report to the Office of the Auditor General if the annual report is not published on the school’s website in a reasonable timeframe. </w:t>
            </w:r>
          </w:p>
        </w:tc>
      </w:tr>
    </w:tbl>
    <w:p w14:paraId="7A41811A" w14:textId="77777777" w:rsidR="00337514" w:rsidRDefault="00337514" w:rsidP="00493AB4">
      <w:pPr>
        <w:pStyle w:val="Text"/>
      </w:pPr>
    </w:p>
    <w:p w14:paraId="3E02B2FD" w14:textId="77777777" w:rsidR="00563B55" w:rsidRDefault="00563B55">
      <w:bookmarkStart w:id="12" w:name="_Toc260382561"/>
      <w:r>
        <w:br w:type="page"/>
      </w:r>
    </w:p>
    <w:p w14:paraId="08996729" w14:textId="77777777" w:rsidR="00137F8A" w:rsidRPr="00F80CBD" w:rsidRDefault="00137F8A" w:rsidP="00664E6D">
      <w:pPr>
        <w:pStyle w:val="Heading1"/>
        <w:ind w:hanging="720"/>
      </w:pPr>
      <w:bookmarkStart w:id="13" w:name="_Toc473105621"/>
      <w:bookmarkStart w:id="14" w:name="_Toc41313812"/>
      <w:r w:rsidRPr="00A075FF">
        <w:lastRenderedPageBreak/>
        <w:t>REQUIRED</w:t>
      </w:r>
      <w:r w:rsidRPr="00F80CBD">
        <w:t xml:space="preserve"> COMMUNICATIONS WITH GOVERNANCE</w:t>
      </w:r>
      <w:bookmarkEnd w:id="13"/>
      <w:bookmarkEnd w:id="14"/>
    </w:p>
    <w:tbl>
      <w:tblPr>
        <w:tblStyle w:val="BDOTable"/>
        <w:tblW w:w="13041" w:type="dxa"/>
        <w:tblLayout w:type="fixed"/>
        <w:tblLook w:val="04A0" w:firstRow="1" w:lastRow="0" w:firstColumn="1" w:lastColumn="0" w:noHBand="0" w:noVBand="1"/>
      </w:tblPr>
      <w:tblGrid>
        <w:gridCol w:w="2410"/>
        <w:gridCol w:w="10631"/>
      </w:tblGrid>
      <w:tr w:rsidR="00137F8A" w:rsidRPr="00E672A8" w14:paraId="31EECE82" w14:textId="77777777" w:rsidTr="005924D4">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410" w:type="dxa"/>
            <w:shd w:val="clear" w:color="auto" w:fill="404040" w:themeFill="text1"/>
          </w:tcPr>
          <w:p w14:paraId="00173BCF" w14:textId="77777777" w:rsidR="00137F8A" w:rsidRPr="00337514" w:rsidRDefault="00137F8A" w:rsidP="00851D7C">
            <w:pPr>
              <w:spacing w:after="0" w:line="259" w:lineRule="auto"/>
              <w:rPr>
                <w:color w:val="404040" w:themeColor="text1"/>
                <w:sz w:val="20"/>
                <w:lang w:val="en-AU"/>
              </w:rPr>
            </w:pPr>
            <w:r w:rsidRPr="00337514">
              <w:rPr>
                <w:color w:val="FFFFFF" w:themeColor="background1"/>
                <w:sz w:val="20"/>
                <w:lang w:val="en-AU"/>
              </w:rPr>
              <w:t>Matter</w:t>
            </w:r>
          </w:p>
        </w:tc>
        <w:tc>
          <w:tcPr>
            <w:tcW w:w="10631" w:type="dxa"/>
            <w:shd w:val="clear" w:color="auto" w:fill="404040" w:themeFill="text1"/>
          </w:tcPr>
          <w:p w14:paraId="165E1240" w14:textId="77777777" w:rsidR="00137F8A" w:rsidRPr="003F7898" w:rsidRDefault="00137F8A" w:rsidP="00851D7C">
            <w:pPr>
              <w:spacing w:after="0" w:line="259" w:lineRule="auto"/>
              <w:cnfStyle w:val="100000000000" w:firstRow="1" w:lastRow="0" w:firstColumn="0" w:lastColumn="0" w:oddVBand="0" w:evenVBand="0" w:oddHBand="0" w:evenHBand="0" w:firstRowFirstColumn="0" w:firstRowLastColumn="0" w:lastRowFirstColumn="0" w:lastRowLastColumn="0"/>
              <w:rPr>
                <w:color w:val="FFFFFF" w:themeColor="background1"/>
                <w:sz w:val="20"/>
                <w:lang w:val="en-AU"/>
              </w:rPr>
            </w:pPr>
            <w:r w:rsidRPr="003F7898">
              <w:rPr>
                <w:color w:val="FFFFFF" w:themeColor="background1"/>
                <w:sz w:val="20"/>
                <w:lang w:val="en-AU"/>
              </w:rPr>
              <w:t xml:space="preserve">How </w:t>
            </w:r>
            <w:r w:rsidR="00BB3EFB">
              <w:rPr>
                <w:color w:val="FFFFFF" w:themeColor="background1"/>
                <w:sz w:val="20"/>
                <w:lang w:val="en-AU"/>
              </w:rPr>
              <w:t xml:space="preserve">the </w:t>
            </w:r>
            <w:r w:rsidRPr="003F7898">
              <w:rPr>
                <w:color w:val="FFFFFF" w:themeColor="background1"/>
                <w:sz w:val="20"/>
                <w:lang w:val="en-AU"/>
              </w:rPr>
              <w:t>matter was addressed</w:t>
            </w:r>
          </w:p>
        </w:tc>
      </w:tr>
      <w:tr w:rsidR="00137F8A" w:rsidRPr="00E672A8" w14:paraId="6338DD02"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31752DA2" w14:textId="77777777" w:rsidR="00137F8A" w:rsidRPr="00337514" w:rsidRDefault="00137F8A" w:rsidP="00851D7C">
            <w:pPr>
              <w:spacing w:line="240" w:lineRule="auto"/>
              <w:rPr>
                <w:b/>
                <w:color w:val="404040" w:themeColor="text1"/>
                <w:lang w:val="en-AU"/>
              </w:rPr>
            </w:pPr>
            <w:r w:rsidRPr="00337514">
              <w:rPr>
                <w:b/>
                <w:color w:val="404040" w:themeColor="text1"/>
                <w:lang w:val="en-AU"/>
              </w:rPr>
              <w:t>Auditors responsibility under generally accepted auditing standards</w:t>
            </w:r>
          </w:p>
        </w:tc>
        <w:tc>
          <w:tcPr>
            <w:tcW w:w="10631" w:type="dxa"/>
          </w:tcPr>
          <w:p w14:paraId="77647065" w14:textId="77777777" w:rsidR="00137F8A" w:rsidRPr="003F7898" w:rsidRDefault="00137F8A" w:rsidP="00493AB4">
            <w:pPr>
              <w:pStyle w:val="Text"/>
            </w:pPr>
            <w:r w:rsidRPr="003F7898">
              <w:t>We are responsible for completing an audit in accordance with generally accepted auditing standards in New Zealand. The detailed terms of which are set out in our audit engagement letter</w:t>
            </w:r>
            <w:r>
              <w:t>.</w:t>
            </w:r>
          </w:p>
        </w:tc>
      </w:tr>
      <w:tr w:rsidR="00137F8A" w:rsidRPr="00E672A8" w14:paraId="304EE645"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17837B8F" w14:textId="77777777" w:rsidR="00137F8A" w:rsidRPr="00337514" w:rsidRDefault="00137F8A" w:rsidP="00851D7C">
            <w:pPr>
              <w:spacing w:line="240" w:lineRule="auto"/>
              <w:rPr>
                <w:b/>
                <w:color w:val="404040" w:themeColor="text1"/>
                <w:lang w:val="en-AU"/>
              </w:rPr>
            </w:pPr>
            <w:r w:rsidRPr="00337514">
              <w:rPr>
                <w:b/>
                <w:color w:val="404040" w:themeColor="text1"/>
                <w:lang w:val="en-AU"/>
              </w:rPr>
              <w:t>Confirmation of Audit Independence</w:t>
            </w:r>
          </w:p>
        </w:tc>
        <w:tc>
          <w:tcPr>
            <w:tcW w:w="10631" w:type="dxa"/>
          </w:tcPr>
          <w:p w14:paraId="2A27CAA8" w14:textId="77777777" w:rsidR="00137F8A" w:rsidRPr="003F7898" w:rsidRDefault="00137F8A" w:rsidP="00493AB4">
            <w:pPr>
              <w:pStyle w:val="Text"/>
            </w:pPr>
            <w:r w:rsidRPr="003F7898">
              <w:t>In conducting our audit, we are required to comply with the independence requirements of PES-1 Code of Ethics for Assurance Practitioners issued by the External Reporting Board.</w:t>
            </w:r>
            <w:r w:rsidR="00664E6D">
              <w:t xml:space="preserve"> </w:t>
            </w:r>
          </w:p>
          <w:p w14:paraId="5396613A" w14:textId="77777777" w:rsidR="00137F8A" w:rsidRPr="003F7898" w:rsidRDefault="00137F8A" w:rsidP="00493AB4">
            <w:pPr>
              <w:pStyle w:val="Text"/>
            </w:pPr>
            <w:r w:rsidRPr="003F7898">
              <w:t>Our own internal policies and procedures are put in place to identify any threats to our independence, and to appropriately deal with and, if relevant, mitigate those risks.</w:t>
            </w:r>
          </w:p>
          <w:p w14:paraId="4B1CD1E0" w14:textId="77777777" w:rsidR="00137F8A" w:rsidRPr="003F7898" w:rsidRDefault="00137F8A" w:rsidP="00493AB4">
            <w:pPr>
              <w:pStyle w:val="Text"/>
            </w:pPr>
            <w:r w:rsidRPr="003F7898">
              <w:t xml:space="preserve">For the comfort of the </w:t>
            </w:r>
            <w:r w:rsidR="0036161A">
              <w:t>Board</w:t>
            </w:r>
            <w:r w:rsidRPr="003F7898">
              <w:t>, we note that the following processes assist in maintaining our independence:</w:t>
            </w:r>
          </w:p>
          <w:p w14:paraId="2BAC561E" w14:textId="77777777" w:rsidR="00137F8A" w:rsidRPr="003F7898" w:rsidRDefault="00137F8A" w:rsidP="00304B2E">
            <w:pPr>
              <w:pStyle w:val="BulletListBDO"/>
            </w:pPr>
            <w:r w:rsidRPr="003F7898">
              <w:t>No other work is permitted to be undertaken by any BDO office without the express approval of the audit engagement partner.</w:t>
            </w:r>
          </w:p>
          <w:p w14:paraId="0D708B47" w14:textId="77777777" w:rsidR="00137F8A" w:rsidRPr="009B29F0" w:rsidRDefault="00137F8A" w:rsidP="00304B2E">
            <w:pPr>
              <w:pStyle w:val="BulletListBDO"/>
            </w:pPr>
            <w:r w:rsidRPr="003F7898">
              <w:t>All services performed by an</w:t>
            </w:r>
            <w:r w:rsidRPr="009B29F0">
              <w:t>y national BDO office will be reported to the governing body.</w:t>
            </w:r>
          </w:p>
          <w:p w14:paraId="319BD61F" w14:textId="2C0B917F" w:rsidR="00851D7C" w:rsidRPr="00851D7C" w:rsidRDefault="00137F8A" w:rsidP="00851D7C">
            <w:pPr>
              <w:pStyle w:val="Text"/>
              <w:rPr>
                <w:highlight w:val="yellow"/>
              </w:rPr>
            </w:pPr>
            <w:r w:rsidRPr="009B29F0">
              <w:t xml:space="preserve">Audit fees billed for </w:t>
            </w:r>
            <w:r w:rsidRPr="008321B7">
              <w:t xml:space="preserve">the </w:t>
            </w:r>
            <w:r w:rsidR="009B29F0" w:rsidRPr="008321B7">
              <w:t>201</w:t>
            </w:r>
            <w:r w:rsidR="009A67CC">
              <w:t>9</w:t>
            </w:r>
            <w:r w:rsidRPr="008321B7">
              <w:t xml:space="preserve"> audit</w:t>
            </w:r>
            <w:r w:rsidR="000C3CFA">
              <w:t xml:space="preserve"> were</w:t>
            </w:r>
            <w:r w:rsidRPr="00851D7C">
              <w:t xml:space="preserve"> </w:t>
            </w:r>
            <w:r w:rsidR="002E3586" w:rsidRPr="002E3586">
              <w:t>$</w:t>
            </w:r>
            <w:r w:rsidR="009A67CC">
              <w:t>7,084</w:t>
            </w:r>
            <w:r w:rsidRPr="00851D7C">
              <w:t xml:space="preserve">. </w:t>
            </w:r>
          </w:p>
          <w:p w14:paraId="427226FF" w14:textId="77777777" w:rsidR="00137F8A" w:rsidRPr="003F7898" w:rsidRDefault="00851D7C" w:rsidP="000C3CFA">
            <w:pPr>
              <w:pStyle w:val="Text"/>
            </w:pPr>
            <w:r w:rsidRPr="009B29F0">
              <w:t>There were no other servic</w:t>
            </w:r>
            <w:r w:rsidR="000C3CFA">
              <w:t>es provided by our firm for the</w:t>
            </w:r>
            <w:r w:rsidRPr="009B29F0">
              <w:t xml:space="preserve"> financial year.</w:t>
            </w:r>
          </w:p>
        </w:tc>
      </w:tr>
      <w:tr w:rsidR="00137F8A" w:rsidRPr="00E672A8" w14:paraId="53157912"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5DE4B28A" w14:textId="77777777" w:rsidR="00137F8A" w:rsidRPr="00337514" w:rsidRDefault="00137F8A" w:rsidP="00851D7C">
            <w:pPr>
              <w:spacing w:line="240" w:lineRule="auto"/>
              <w:rPr>
                <w:b/>
                <w:color w:val="404040" w:themeColor="text1"/>
                <w:lang w:val="en-AU"/>
              </w:rPr>
            </w:pPr>
            <w:r w:rsidRPr="00337514">
              <w:rPr>
                <w:b/>
                <w:color w:val="404040" w:themeColor="text1"/>
                <w:lang w:val="en-AU"/>
              </w:rPr>
              <w:t>Management Judgements and Estimates</w:t>
            </w:r>
          </w:p>
        </w:tc>
        <w:tc>
          <w:tcPr>
            <w:tcW w:w="10631" w:type="dxa"/>
          </w:tcPr>
          <w:p w14:paraId="29A2514B" w14:textId="77777777" w:rsidR="00137F8A" w:rsidRPr="003F7898" w:rsidRDefault="00137F8A" w:rsidP="00091FA3">
            <w:pPr>
              <w:pStyle w:val="Text"/>
            </w:pPr>
            <w:r w:rsidRPr="003F7898">
              <w:t>Under International Standards on Auditing (</w:t>
            </w:r>
            <w:r w:rsidRPr="00CE0B8D">
              <w:rPr>
                <w:noProof/>
              </w:rPr>
              <w:t>NZ</w:t>
            </w:r>
            <w:r w:rsidRPr="009B29F0">
              <w:rPr>
                <w:noProof/>
              </w:rPr>
              <w:t>)</w:t>
            </w:r>
            <w:r w:rsidR="00CE0B8D" w:rsidRPr="009B29F0">
              <w:rPr>
                <w:noProof/>
              </w:rPr>
              <w:t>,</w:t>
            </w:r>
            <w:r w:rsidRPr="009B29F0">
              <w:t xml:space="preserve"> we have a responsibility to ensure that you have been informed about the process used by the </w:t>
            </w:r>
            <w:r w:rsidR="000C3CFA">
              <w:t>School</w:t>
            </w:r>
            <w:r w:rsidRPr="009B29F0">
              <w:t xml:space="preserve"> in formulating</w:t>
            </w:r>
            <w:r w:rsidRPr="003F7898">
              <w:t xml:space="preserve"> particularly sensitive accounting estimates, assumptions or valuation </w:t>
            </w:r>
            <w:r w:rsidRPr="008321B7">
              <w:t>judgements.</w:t>
            </w:r>
            <w:r w:rsidR="00664E6D" w:rsidRPr="008321B7">
              <w:t xml:space="preserve"> </w:t>
            </w:r>
            <w:r w:rsidRPr="008321B7">
              <w:t xml:space="preserve">Overall we note that the judgements and estimates by management in preparing the results for the year ended </w:t>
            </w:r>
            <w:r w:rsidR="009B29F0" w:rsidRPr="008321B7">
              <w:t>31 December 201</w:t>
            </w:r>
            <w:r w:rsidR="00091FA3" w:rsidRPr="008321B7">
              <w:t>8</w:t>
            </w:r>
            <w:r w:rsidR="009B29F0" w:rsidRPr="009B29F0">
              <w:t xml:space="preserve"> </w:t>
            </w:r>
            <w:r w:rsidRPr="009B29F0">
              <w:t xml:space="preserve">appear reasonable. Key matters impacting on our audit have been raised </w:t>
            </w:r>
            <w:r w:rsidR="00851D7C" w:rsidRPr="009B29F0">
              <w:t>in sections 2 and 3 of this</w:t>
            </w:r>
            <w:r w:rsidRPr="009B29F0">
              <w:t xml:space="preserve"> report if applicable</w:t>
            </w:r>
            <w:r w:rsidRPr="003F7898">
              <w:t>.</w:t>
            </w:r>
          </w:p>
        </w:tc>
      </w:tr>
      <w:tr w:rsidR="00137F8A" w:rsidRPr="00E672A8" w14:paraId="1E2B6F53"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79D284AC" w14:textId="77777777" w:rsidR="00137F8A" w:rsidRPr="00337514" w:rsidRDefault="00137F8A" w:rsidP="009B29F0">
            <w:pPr>
              <w:spacing w:line="240" w:lineRule="auto"/>
              <w:rPr>
                <w:b/>
                <w:color w:val="404040" w:themeColor="text1"/>
                <w:lang w:val="en-AU"/>
              </w:rPr>
            </w:pPr>
            <w:r w:rsidRPr="00337514">
              <w:rPr>
                <w:b/>
                <w:color w:val="404040" w:themeColor="text1"/>
                <w:lang w:val="en-AU"/>
              </w:rPr>
              <w:lastRenderedPageBreak/>
              <w:t xml:space="preserve">Matters requiring </w:t>
            </w:r>
            <w:r w:rsidR="009B29F0">
              <w:rPr>
                <w:b/>
                <w:color w:val="404040" w:themeColor="text1"/>
                <w:lang w:val="en-AU"/>
              </w:rPr>
              <w:t>Board of Trustee</w:t>
            </w:r>
            <w:r w:rsidR="00211A20" w:rsidRPr="00337514">
              <w:rPr>
                <w:b/>
                <w:color w:val="404040" w:themeColor="text1"/>
                <w:lang w:val="en-AU"/>
              </w:rPr>
              <w:t xml:space="preserve"> </w:t>
            </w:r>
            <w:r w:rsidRPr="00337514">
              <w:rPr>
                <w:b/>
                <w:color w:val="404040" w:themeColor="text1"/>
                <w:lang w:val="en-AU"/>
              </w:rPr>
              <w:t>input</w:t>
            </w:r>
          </w:p>
        </w:tc>
        <w:tc>
          <w:tcPr>
            <w:tcW w:w="10631" w:type="dxa"/>
          </w:tcPr>
          <w:p w14:paraId="1C38B239" w14:textId="77777777" w:rsidR="00137F8A" w:rsidRPr="003F7898" w:rsidRDefault="00137F8A" w:rsidP="00493AB4">
            <w:pPr>
              <w:pStyle w:val="Text"/>
            </w:pPr>
            <w:r w:rsidRPr="003F7898">
              <w:t xml:space="preserve">We have placed reliance </w:t>
            </w:r>
            <w:r w:rsidRPr="009B29F0">
              <w:t xml:space="preserve">on the </w:t>
            </w:r>
            <w:r w:rsidR="0036161A">
              <w:t xml:space="preserve">Board’s </w:t>
            </w:r>
            <w:r w:rsidRPr="009B29F0">
              <w:t>review</w:t>
            </w:r>
            <w:r w:rsidRPr="003F7898">
              <w:t xml:space="preserve"> and approval of the following matters:</w:t>
            </w:r>
          </w:p>
          <w:p w14:paraId="4619F25F" w14:textId="77777777" w:rsidR="00137F8A" w:rsidRPr="009E5960" w:rsidRDefault="00137F8A" w:rsidP="009E5960">
            <w:pPr>
              <w:pStyle w:val="BulletListBDO"/>
            </w:pPr>
            <w:r w:rsidRPr="009E5960">
              <w:t xml:space="preserve">Minutes of the </w:t>
            </w:r>
            <w:r w:rsidR="009B29F0">
              <w:t xml:space="preserve">Board </w:t>
            </w:r>
            <w:r w:rsidRPr="009E5960">
              <w:t>meetings;</w:t>
            </w:r>
          </w:p>
          <w:p w14:paraId="6C741328" w14:textId="77777777" w:rsidR="00137F8A" w:rsidRPr="009E5960" w:rsidRDefault="00137F8A" w:rsidP="009E5960">
            <w:pPr>
              <w:pStyle w:val="BulletListBDO"/>
            </w:pPr>
            <w:r w:rsidRPr="009E5960">
              <w:t>Implementation of such controls as is needed to ensure that financial statements are presented fairly;</w:t>
            </w:r>
          </w:p>
          <w:p w14:paraId="3C0FCDE8" w14:textId="77777777" w:rsidR="00137F8A" w:rsidRPr="009E5960" w:rsidRDefault="00137F8A" w:rsidP="009E5960">
            <w:pPr>
              <w:pStyle w:val="BulletListBDO"/>
            </w:pPr>
            <w:r w:rsidRPr="009E5960">
              <w:t>Review and approval of management accounts;</w:t>
            </w:r>
          </w:p>
          <w:p w14:paraId="455B182B" w14:textId="77777777" w:rsidR="00137F8A" w:rsidRPr="00C976A1" w:rsidRDefault="00137F8A" w:rsidP="009E5960">
            <w:pPr>
              <w:pStyle w:val="BulletListBDO"/>
            </w:pPr>
            <w:r w:rsidRPr="009E5960">
              <w:t xml:space="preserve">Review and approval </w:t>
            </w:r>
            <w:r w:rsidRPr="00C976A1">
              <w:t>of annual budget;</w:t>
            </w:r>
          </w:p>
          <w:p w14:paraId="52BB101F" w14:textId="77777777" w:rsidR="000C3CFA" w:rsidRPr="00C976A1" w:rsidRDefault="000C3CFA" w:rsidP="009E5960">
            <w:pPr>
              <w:pStyle w:val="BulletListBDO"/>
            </w:pPr>
            <w:r w:rsidRPr="00C976A1">
              <w:t>Review and approval of 10 Year Property Plan</w:t>
            </w:r>
          </w:p>
          <w:p w14:paraId="6D6661AE" w14:textId="77777777" w:rsidR="00137F8A" w:rsidRPr="00C976A1" w:rsidRDefault="00137F8A" w:rsidP="009E5960">
            <w:pPr>
              <w:pStyle w:val="BulletListBDO"/>
            </w:pPr>
            <w:r w:rsidRPr="00C976A1">
              <w:t>Notification of fraud; and</w:t>
            </w:r>
          </w:p>
          <w:p w14:paraId="0BBE4A0C" w14:textId="77777777" w:rsidR="00137F8A" w:rsidRPr="00730D24" w:rsidRDefault="00137F8A" w:rsidP="009E5960">
            <w:pPr>
              <w:pStyle w:val="BulletListBDO"/>
            </w:pPr>
            <w:r w:rsidRPr="009E5960">
              <w:t>Review and approval of the financial statements.</w:t>
            </w:r>
          </w:p>
        </w:tc>
      </w:tr>
      <w:tr w:rsidR="00137F8A" w:rsidRPr="00E672A8" w14:paraId="4E7FB947"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035A8924" w14:textId="77777777" w:rsidR="00137F8A" w:rsidRPr="00337514" w:rsidRDefault="00137F8A" w:rsidP="00851D7C">
            <w:pPr>
              <w:spacing w:line="240" w:lineRule="auto"/>
              <w:rPr>
                <w:b/>
                <w:color w:val="404040" w:themeColor="text1"/>
                <w:lang w:val="en-AU"/>
              </w:rPr>
            </w:pPr>
            <w:r w:rsidRPr="00337514">
              <w:rPr>
                <w:b/>
                <w:color w:val="404040" w:themeColor="text1"/>
                <w:lang w:val="en-AU"/>
              </w:rPr>
              <w:t>Accounting policies</w:t>
            </w:r>
          </w:p>
        </w:tc>
        <w:tc>
          <w:tcPr>
            <w:tcW w:w="10631" w:type="dxa"/>
          </w:tcPr>
          <w:p w14:paraId="434BD037" w14:textId="77777777" w:rsidR="00211A20" w:rsidRPr="003F7898" w:rsidRDefault="008159BF" w:rsidP="0023042B">
            <w:pPr>
              <w:pStyle w:val="Text"/>
            </w:pPr>
            <w:r w:rsidRPr="008159BF">
              <w:t xml:space="preserve">Auditing standards require us to discuss with you the qualitative aspects of </w:t>
            </w:r>
            <w:r>
              <w:t xml:space="preserve">the </w:t>
            </w:r>
            <w:r w:rsidRPr="008159BF">
              <w:t>School’s accounting practices and financial reporting.</w:t>
            </w:r>
            <w:r w:rsidR="00233B8C">
              <w:t xml:space="preserve"> </w:t>
            </w:r>
            <w:r w:rsidRPr="008159BF">
              <w:t xml:space="preserve">We reviewed the financial statements of </w:t>
            </w:r>
            <w:r>
              <w:t xml:space="preserve">the </w:t>
            </w:r>
            <w:r w:rsidRPr="008159BF">
              <w:t>School against the Kiwi Park Model and noted no material departures from the requirements.</w:t>
            </w:r>
          </w:p>
        </w:tc>
      </w:tr>
      <w:tr w:rsidR="00137F8A" w:rsidRPr="00E672A8" w14:paraId="0B7722B8"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14F3B6D5" w14:textId="77777777" w:rsidR="00137F8A" w:rsidRPr="00337514" w:rsidRDefault="00137F8A" w:rsidP="00851D7C">
            <w:pPr>
              <w:spacing w:line="240" w:lineRule="auto"/>
              <w:rPr>
                <w:b/>
                <w:color w:val="404040" w:themeColor="text1"/>
                <w:lang w:val="en-AU"/>
              </w:rPr>
            </w:pPr>
            <w:r w:rsidRPr="00337514">
              <w:rPr>
                <w:b/>
                <w:color w:val="404040" w:themeColor="text1"/>
                <w:lang w:val="en-AU"/>
              </w:rPr>
              <w:t xml:space="preserve">Materiality and </w:t>
            </w:r>
            <w:r w:rsidRPr="008A58BD">
              <w:rPr>
                <w:b/>
                <w:color w:val="404040" w:themeColor="text1"/>
                <w:lang w:val="en-AU"/>
              </w:rPr>
              <w:t>adjusted/</w:t>
            </w:r>
            <w:r w:rsidRPr="00337514">
              <w:rPr>
                <w:b/>
                <w:color w:val="404040" w:themeColor="text1"/>
                <w:lang w:val="en-AU"/>
              </w:rPr>
              <w:t xml:space="preserve"> unadjusted differences</w:t>
            </w:r>
          </w:p>
          <w:p w14:paraId="64B9BB47" w14:textId="77777777" w:rsidR="00137F8A" w:rsidRPr="00337514" w:rsidRDefault="00137F8A" w:rsidP="00851D7C">
            <w:pPr>
              <w:spacing w:line="240" w:lineRule="auto"/>
              <w:rPr>
                <w:b/>
                <w:color w:val="404040" w:themeColor="text1"/>
                <w:lang w:val="en-AU"/>
              </w:rPr>
            </w:pPr>
          </w:p>
        </w:tc>
        <w:tc>
          <w:tcPr>
            <w:tcW w:w="10631" w:type="dxa"/>
          </w:tcPr>
          <w:p w14:paraId="445291F2" w14:textId="77777777" w:rsidR="00137F8A" w:rsidRPr="008A58BD" w:rsidRDefault="00137F8A" w:rsidP="00493AB4">
            <w:pPr>
              <w:pStyle w:val="Text"/>
            </w:pPr>
            <w:r w:rsidRPr="008A58BD">
              <w:t>Materiality means, in the context of an audit or review, if financial information is omitted, misstated or not disclosed it has the potential to affect the decisions of users of the financial statements.</w:t>
            </w:r>
            <w:r w:rsidR="00664E6D" w:rsidRPr="008A58BD">
              <w:t xml:space="preserve"> </w:t>
            </w:r>
            <w:r w:rsidRPr="008A58BD">
              <w:t>Materiality is used by auditors in making judgements on the amount of work to be performed, which balances require work and for evaluating the financial report.</w:t>
            </w:r>
            <w:r w:rsidR="00664E6D" w:rsidRPr="008A58BD">
              <w:t xml:space="preserve"> </w:t>
            </w:r>
            <w:r w:rsidRPr="008A58BD">
              <w:t>Materiality is initially calculated at the planning stage and has an influence on the amount of work we do, as well as where we direct our audit efforts.</w:t>
            </w:r>
            <w:r w:rsidR="00664E6D" w:rsidRPr="008A58BD">
              <w:t xml:space="preserve"> </w:t>
            </w:r>
            <w:r w:rsidRPr="008A58BD">
              <w:t>Materiality is not only based on a numeric quantification but is assessed qualitatively for some balances and disclosures.</w:t>
            </w:r>
          </w:p>
          <w:p w14:paraId="2EB5D41F" w14:textId="214B44E2" w:rsidR="00A4751D" w:rsidRPr="008A58BD" w:rsidRDefault="00A4751D" w:rsidP="00A4751D">
            <w:pPr>
              <w:pStyle w:val="Text"/>
            </w:pPr>
            <w:r w:rsidRPr="008A58BD">
              <w:t>There were no errors left uncorrected at the conclusion of the audit.</w:t>
            </w:r>
          </w:p>
          <w:p w14:paraId="10976F9F" w14:textId="197BDA6D" w:rsidR="00137F8A" w:rsidRPr="008A58BD" w:rsidRDefault="00A4751D" w:rsidP="00493AB4">
            <w:pPr>
              <w:pStyle w:val="Text"/>
            </w:pPr>
            <w:proofErr w:type="gramStart"/>
            <w:r w:rsidRPr="008A58BD">
              <w:t>During the course of</w:t>
            </w:r>
            <w:proofErr w:type="gramEnd"/>
            <w:r w:rsidRPr="008A58BD">
              <w:t xml:space="preserve"> our </w:t>
            </w:r>
            <w:r w:rsidRPr="008A58BD">
              <w:rPr>
                <w:noProof/>
              </w:rPr>
              <w:t>audit</w:t>
            </w:r>
            <w:r w:rsidR="00CE0B8D" w:rsidRPr="008A58BD">
              <w:rPr>
                <w:noProof/>
              </w:rPr>
              <w:t>,</w:t>
            </w:r>
            <w:r w:rsidRPr="008A58BD">
              <w:t xml:space="preserve"> we identified misstatements which have been corrected in the financial statements these have been detailed in Appendix 1 of this report.</w:t>
            </w:r>
            <w:r w:rsidR="00664E6D" w:rsidRPr="008A58BD">
              <w:t xml:space="preserve"> </w:t>
            </w:r>
          </w:p>
          <w:p w14:paraId="1CA1EFBF" w14:textId="77777777" w:rsidR="00137F8A" w:rsidRPr="008A58BD" w:rsidRDefault="00137F8A" w:rsidP="00493AB4">
            <w:pPr>
              <w:pStyle w:val="Text"/>
            </w:pPr>
            <w:r w:rsidRPr="008A58BD">
              <w:t xml:space="preserve">It should be noted that the auditing standards do not require us to communicate misstatements that are considered “clearly trivial” and as such, if we identify such </w:t>
            </w:r>
            <w:proofErr w:type="gramStart"/>
            <w:r w:rsidRPr="008A58BD">
              <w:t>misstatements</w:t>
            </w:r>
            <w:proofErr w:type="gramEnd"/>
            <w:r w:rsidRPr="008A58BD">
              <w:t xml:space="preserve"> we will not communicate these to you.</w:t>
            </w:r>
            <w:r w:rsidR="00664E6D" w:rsidRPr="008A58BD">
              <w:t xml:space="preserve"> </w:t>
            </w:r>
            <w:r w:rsidRPr="008A58BD">
              <w:t>We consider “clearly trivial” to be 5% or less of our planned materiality.</w:t>
            </w:r>
          </w:p>
        </w:tc>
      </w:tr>
      <w:tr w:rsidR="00137F8A" w:rsidRPr="00E672A8" w14:paraId="3895AD7F"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747BA663" w14:textId="77777777" w:rsidR="00137F8A" w:rsidRPr="00337514" w:rsidRDefault="00137F8A" w:rsidP="00851D7C">
            <w:pPr>
              <w:spacing w:line="240" w:lineRule="auto"/>
              <w:rPr>
                <w:b/>
                <w:color w:val="404040" w:themeColor="text1"/>
                <w:lang w:val="en-AU"/>
              </w:rPr>
            </w:pPr>
            <w:r w:rsidRPr="00337514">
              <w:rPr>
                <w:b/>
                <w:color w:val="404040" w:themeColor="text1"/>
                <w:lang w:val="en-AU"/>
              </w:rPr>
              <w:lastRenderedPageBreak/>
              <w:t>Going concern</w:t>
            </w:r>
          </w:p>
        </w:tc>
        <w:tc>
          <w:tcPr>
            <w:tcW w:w="10631" w:type="dxa"/>
          </w:tcPr>
          <w:p w14:paraId="46AB10FC" w14:textId="77777777" w:rsidR="00137F8A" w:rsidRPr="00022F4C" w:rsidRDefault="00137F8A" w:rsidP="00493AB4">
            <w:pPr>
              <w:pStyle w:val="Text"/>
            </w:pPr>
            <w:r w:rsidRPr="00022F4C">
              <w:t>We have und</w:t>
            </w:r>
            <w:r w:rsidR="007358B7" w:rsidRPr="00022F4C">
              <w:t>ertaken a review of management</w:t>
            </w:r>
            <w:r w:rsidRPr="00022F4C">
              <w:t xml:space="preserve"> and those charged with governance</w:t>
            </w:r>
            <w:r w:rsidR="007358B7" w:rsidRPr="00022F4C">
              <w:t>’</w:t>
            </w:r>
            <w:r w:rsidRPr="00022F4C">
              <w:t xml:space="preserve"> assessment of the ability of the </w:t>
            </w:r>
            <w:r w:rsidR="000C3CFA" w:rsidRPr="00022F4C">
              <w:t>School</w:t>
            </w:r>
            <w:r w:rsidRPr="00022F4C">
              <w:t xml:space="preserve"> to continue as a going concern for 12 months from the date of signing the audit report and therefore whether the going concern basis for the preparation of the financial statements is appropriate.</w:t>
            </w:r>
          </w:p>
          <w:p w14:paraId="2BB7787A" w14:textId="77777777" w:rsidR="00137F8A" w:rsidRPr="00022F4C" w:rsidRDefault="007358B7" w:rsidP="009B29F0">
            <w:pPr>
              <w:pStyle w:val="Text"/>
              <w:rPr>
                <w:b/>
              </w:rPr>
            </w:pPr>
            <w:r w:rsidRPr="00022F4C">
              <w:t xml:space="preserve">We identified no issues or concerns that lead us to conclude the going concern assumption cannot be relied upon. </w:t>
            </w:r>
          </w:p>
        </w:tc>
      </w:tr>
      <w:tr w:rsidR="00137F8A" w:rsidRPr="00E672A8" w14:paraId="18F3F423"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612DBE6C" w14:textId="77777777" w:rsidR="00137F8A" w:rsidRPr="00337514" w:rsidRDefault="00137F8A" w:rsidP="00851D7C">
            <w:pPr>
              <w:spacing w:line="240" w:lineRule="auto"/>
              <w:rPr>
                <w:b/>
                <w:color w:val="404040" w:themeColor="text1"/>
                <w:lang w:val="en-AU"/>
              </w:rPr>
            </w:pPr>
            <w:r w:rsidRPr="00337514">
              <w:rPr>
                <w:b/>
                <w:color w:val="404040" w:themeColor="text1"/>
                <w:lang w:val="en-AU"/>
              </w:rPr>
              <w:t>Fraud</w:t>
            </w:r>
          </w:p>
        </w:tc>
        <w:tc>
          <w:tcPr>
            <w:tcW w:w="10631" w:type="dxa"/>
          </w:tcPr>
          <w:p w14:paraId="32EF148B" w14:textId="77777777" w:rsidR="00137F8A" w:rsidRPr="003F7898" w:rsidRDefault="00137F8A" w:rsidP="00493AB4">
            <w:pPr>
              <w:pStyle w:val="Text"/>
            </w:pPr>
            <w:r w:rsidRPr="003F7898">
              <w:t>During the audit, no matters relating to fraud, concerning either employees or management, have come to our attention.</w:t>
            </w:r>
            <w:r w:rsidR="00664E6D">
              <w:t xml:space="preserve"> </w:t>
            </w:r>
            <w:r w:rsidRPr="003F7898">
              <w:t xml:space="preserve">It should be noted that our audit is not designed to detect </w:t>
            </w:r>
            <w:r w:rsidRPr="00CE0B8D">
              <w:rPr>
                <w:noProof/>
              </w:rPr>
              <w:t>fraud</w:t>
            </w:r>
            <w:r w:rsidR="00CE0B8D" w:rsidRPr="00CE0B8D">
              <w:rPr>
                <w:noProof/>
              </w:rPr>
              <w:t>,</w:t>
            </w:r>
            <w:r w:rsidRPr="003F7898">
              <w:t xml:space="preserve"> however, should </w:t>
            </w:r>
            <w:r w:rsidRPr="008A78C9">
              <w:rPr>
                <w:noProof/>
              </w:rPr>
              <w:t>instances</w:t>
            </w:r>
            <w:r w:rsidRPr="003F7898">
              <w:t xml:space="preserve"> of fraud come to our attention, we will report them to you.</w:t>
            </w:r>
          </w:p>
        </w:tc>
      </w:tr>
      <w:tr w:rsidR="00137F8A" w:rsidRPr="00E672A8" w14:paraId="7C4DAC25"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61E99BCF" w14:textId="77777777" w:rsidR="00137F8A" w:rsidRPr="00337514" w:rsidRDefault="00137F8A" w:rsidP="00851D7C">
            <w:pPr>
              <w:spacing w:line="240" w:lineRule="auto"/>
              <w:rPr>
                <w:b/>
                <w:bCs/>
                <w:color w:val="404040" w:themeColor="text1"/>
                <w:lang w:val="en-AU"/>
              </w:rPr>
            </w:pPr>
            <w:r w:rsidRPr="00337514">
              <w:rPr>
                <w:b/>
                <w:bCs/>
                <w:color w:val="404040" w:themeColor="text1"/>
                <w:lang w:val="en-AU"/>
              </w:rPr>
              <w:t>Compliance with laws and regulations</w:t>
            </w:r>
          </w:p>
        </w:tc>
        <w:tc>
          <w:tcPr>
            <w:tcW w:w="10631" w:type="dxa"/>
          </w:tcPr>
          <w:p w14:paraId="5A0B3DC6" w14:textId="77777777" w:rsidR="00137F8A" w:rsidRPr="003F7898" w:rsidRDefault="00137F8A" w:rsidP="009B29F0">
            <w:pPr>
              <w:pStyle w:val="Text"/>
            </w:pPr>
            <w:r w:rsidRPr="003F7898">
              <w:t xml:space="preserve">We have made enquiries in relation to compliance with laws and regulations during the course of our audit. We have not become aware of any instances of non-compliance with </w:t>
            </w:r>
            <w:r w:rsidRPr="009B29F0">
              <w:t xml:space="preserve">laws and regulations which has materially impacted the financial position or performance of the </w:t>
            </w:r>
            <w:r w:rsidR="000C3CFA">
              <w:t>School</w:t>
            </w:r>
            <w:r w:rsidRPr="009B29F0">
              <w:t>.</w:t>
            </w:r>
          </w:p>
        </w:tc>
      </w:tr>
      <w:tr w:rsidR="00137F8A" w:rsidRPr="00E672A8" w14:paraId="492E7639"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4AD1F1C4" w14:textId="77777777" w:rsidR="00137F8A" w:rsidRPr="00337514" w:rsidRDefault="00137F8A" w:rsidP="00851D7C">
            <w:pPr>
              <w:spacing w:line="240" w:lineRule="auto"/>
              <w:rPr>
                <w:b/>
                <w:bCs/>
                <w:color w:val="404040" w:themeColor="text1"/>
                <w:lang w:val="en-AU"/>
              </w:rPr>
            </w:pPr>
            <w:r w:rsidRPr="00337514">
              <w:rPr>
                <w:b/>
                <w:bCs/>
                <w:color w:val="404040" w:themeColor="text1"/>
                <w:lang w:val="en-AU"/>
              </w:rPr>
              <w:t>Significant findings from the audit</w:t>
            </w:r>
          </w:p>
        </w:tc>
        <w:tc>
          <w:tcPr>
            <w:tcW w:w="10631" w:type="dxa"/>
          </w:tcPr>
          <w:p w14:paraId="7334BC73" w14:textId="77777777" w:rsidR="00137F8A" w:rsidRPr="003F7898" w:rsidRDefault="00137F8A" w:rsidP="007358B7">
            <w:pPr>
              <w:pStyle w:val="Text"/>
            </w:pPr>
            <w:r w:rsidRPr="003F7898">
              <w:t xml:space="preserve">Other than those documented in the executive summary and </w:t>
            </w:r>
            <w:r w:rsidR="007358B7">
              <w:t>sections 2 and 3 of this report</w:t>
            </w:r>
            <w:r w:rsidR="00C7331F">
              <w:t>,</w:t>
            </w:r>
            <w:r w:rsidRPr="003F7898">
              <w:t xml:space="preserve"> there were no significant matters arising from the audit. </w:t>
            </w:r>
          </w:p>
        </w:tc>
      </w:tr>
      <w:tr w:rsidR="00137F8A" w:rsidRPr="00E672A8" w14:paraId="45198F3A"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167A38A9" w14:textId="77777777" w:rsidR="00137F8A" w:rsidRPr="00337514" w:rsidRDefault="00137F8A" w:rsidP="00851D7C">
            <w:pPr>
              <w:spacing w:line="240" w:lineRule="auto"/>
              <w:rPr>
                <w:b/>
                <w:bCs/>
                <w:color w:val="404040" w:themeColor="text1"/>
                <w:lang w:val="en-AU"/>
              </w:rPr>
            </w:pPr>
            <w:r w:rsidRPr="00337514">
              <w:rPr>
                <w:b/>
                <w:bCs/>
                <w:color w:val="404040" w:themeColor="text1"/>
                <w:lang w:val="en-AU"/>
              </w:rPr>
              <w:t>Disagreements with management</w:t>
            </w:r>
          </w:p>
        </w:tc>
        <w:tc>
          <w:tcPr>
            <w:tcW w:w="10631" w:type="dxa"/>
          </w:tcPr>
          <w:p w14:paraId="69DC579A" w14:textId="77777777" w:rsidR="00137F8A" w:rsidRPr="003F7898" w:rsidRDefault="00137F8A" w:rsidP="00493AB4">
            <w:pPr>
              <w:pStyle w:val="Text"/>
            </w:pPr>
            <w:r w:rsidRPr="003F7898">
              <w:t>There have been no disagreements with management over matters of significance to the audit.</w:t>
            </w:r>
          </w:p>
        </w:tc>
      </w:tr>
      <w:tr w:rsidR="00137F8A" w:rsidRPr="00E672A8" w14:paraId="67D7E0F7"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00988D93" w14:textId="77777777" w:rsidR="00137F8A" w:rsidRPr="00337514" w:rsidRDefault="00137F8A" w:rsidP="00851D7C">
            <w:pPr>
              <w:spacing w:line="240" w:lineRule="auto"/>
              <w:rPr>
                <w:b/>
                <w:bCs/>
                <w:color w:val="404040" w:themeColor="text1"/>
                <w:lang w:val="en-AU"/>
              </w:rPr>
            </w:pPr>
            <w:r w:rsidRPr="00337514">
              <w:rPr>
                <w:b/>
                <w:bCs/>
                <w:color w:val="404040" w:themeColor="text1"/>
                <w:lang w:val="en-AU"/>
              </w:rPr>
              <w:t>Difficulties encountered during the audit</w:t>
            </w:r>
          </w:p>
        </w:tc>
        <w:tc>
          <w:tcPr>
            <w:tcW w:w="10631" w:type="dxa"/>
          </w:tcPr>
          <w:p w14:paraId="777BEA49" w14:textId="77777777" w:rsidR="00137F8A" w:rsidRPr="003F7898" w:rsidRDefault="00137F8A" w:rsidP="00493AB4">
            <w:pPr>
              <w:pStyle w:val="Text"/>
            </w:pPr>
            <w:r w:rsidRPr="003F7898">
              <w:t>There have been no significant difficulties encountered during the audit.</w:t>
            </w:r>
          </w:p>
        </w:tc>
      </w:tr>
      <w:tr w:rsidR="00137F8A" w:rsidRPr="00E672A8" w14:paraId="1635F453"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5FDE3F11" w14:textId="77777777" w:rsidR="00137F8A" w:rsidRPr="00337514" w:rsidRDefault="00137F8A" w:rsidP="00851D7C">
            <w:pPr>
              <w:spacing w:line="240" w:lineRule="auto"/>
              <w:rPr>
                <w:b/>
                <w:bCs/>
                <w:color w:val="404040" w:themeColor="text1"/>
                <w:lang w:val="en-AU"/>
              </w:rPr>
            </w:pPr>
            <w:r w:rsidRPr="00337514">
              <w:rPr>
                <w:b/>
                <w:bCs/>
                <w:color w:val="404040" w:themeColor="text1"/>
                <w:lang w:val="en-AU"/>
              </w:rPr>
              <w:t>Consultations with other accountants and consultants</w:t>
            </w:r>
          </w:p>
        </w:tc>
        <w:tc>
          <w:tcPr>
            <w:tcW w:w="10631" w:type="dxa"/>
          </w:tcPr>
          <w:p w14:paraId="6C26591F" w14:textId="77777777" w:rsidR="00137F8A" w:rsidRPr="003F7898" w:rsidRDefault="00137F8A" w:rsidP="00493AB4">
            <w:pPr>
              <w:pStyle w:val="Text"/>
            </w:pPr>
            <w:r w:rsidRPr="003F7898">
              <w:t>We have considered the need for other accounting specialists during our work and determined, due to the nature of the engagement and experience and knowledge of the engagement team, that no specialists were necessary for the current period.</w:t>
            </w:r>
          </w:p>
        </w:tc>
      </w:tr>
      <w:tr w:rsidR="00137F8A" w:rsidRPr="00E672A8" w14:paraId="54D1D130"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2EEAC395" w14:textId="77777777" w:rsidR="00137F8A" w:rsidRPr="00337514" w:rsidRDefault="00137F8A" w:rsidP="00851D7C">
            <w:pPr>
              <w:spacing w:line="240" w:lineRule="auto"/>
              <w:rPr>
                <w:b/>
                <w:bCs/>
                <w:color w:val="404040" w:themeColor="text1"/>
                <w:lang w:val="en-AU"/>
              </w:rPr>
            </w:pPr>
            <w:r w:rsidRPr="00337514">
              <w:rPr>
                <w:b/>
                <w:bCs/>
                <w:color w:val="404040" w:themeColor="text1"/>
                <w:lang w:val="en-AU"/>
              </w:rPr>
              <w:lastRenderedPageBreak/>
              <w:t>Management representation letter</w:t>
            </w:r>
          </w:p>
        </w:tc>
        <w:tc>
          <w:tcPr>
            <w:tcW w:w="10631" w:type="dxa"/>
          </w:tcPr>
          <w:p w14:paraId="7F5E0424" w14:textId="77777777" w:rsidR="00137F8A" w:rsidRPr="003F7898" w:rsidRDefault="00137F8A" w:rsidP="00493AB4">
            <w:pPr>
              <w:pStyle w:val="Text"/>
            </w:pPr>
            <w:r w:rsidRPr="003F7898">
              <w:t>We have not requested specific representation from management in addition to those areas normally covered by our standard representation letter.</w:t>
            </w:r>
          </w:p>
        </w:tc>
      </w:tr>
      <w:tr w:rsidR="0023042B" w:rsidRPr="00E672A8" w14:paraId="70734DFF" w14:textId="77777777" w:rsidTr="005924D4">
        <w:trPr>
          <w:cnfStyle w:val="000000100000" w:firstRow="0" w:lastRow="0" w:firstColumn="0" w:lastColumn="0" w:oddVBand="0" w:evenVBand="0" w:oddHBand="1" w:evenHBand="0" w:firstRowFirstColumn="0" w:firstRowLastColumn="0" w:lastRowFirstColumn="0" w:lastRowLastColumn="0"/>
        </w:trPr>
        <w:tc>
          <w:tcPr>
            <w:tcW w:w="2410" w:type="dxa"/>
          </w:tcPr>
          <w:p w14:paraId="1052FEE0" w14:textId="77777777" w:rsidR="0023042B" w:rsidRPr="00337514" w:rsidRDefault="0023042B" w:rsidP="00851D7C">
            <w:pPr>
              <w:spacing w:line="240" w:lineRule="auto"/>
              <w:rPr>
                <w:b/>
                <w:bCs/>
                <w:color w:val="404040" w:themeColor="text1"/>
                <w:lang w:val="en-AU"/>
              </w:rPr>
            </w:pPr>
            <w:r>
              <w:rPr>
                <w:b/>
                <w:bCs/>
                <w:color w:val="404040" w:themeColor="text1"/>
                <w:lang w:val="en-AU"/>
              </w:rPr>
              <w:t>Probity, waste and performance</w:t>
            </w:r>
          </w:p>
        </w:tc>
        <w:tc>
          <w:tcPr>
            <w:tcW w:w="10631" w:type="dxa"/>
          </w:tcPr>
          <w:p w14:paraId="5B088215" w14:textId="77777777" w:rsidR="0023042B" w:rsidRPr="003F7898" w:rsidRDefault="0023042B" w:rsidP="00493AB4">
            <w:pPr>
              <w:pStyle w:val="Text"/>
            </w:pPr>
            <w:r w:rsidRPr="0023042B">
              <w:t>We are required to consider whether any approved payments could be considered extravagant or wasteful, or show a lack of probity or financial prudence. We did not identify any issues of concern with respect to probity, waste and performance.</w:t>
            </w:r>
          </w:p>
        </w:tc>
      </w:tr>
      <w:tr w:rsidR="000624F2" w:rsidRPr="00E672A8" w14:paraId="27410DA9" w14:textId="77777777" w:rsidTr="005924D4">
        <w:trPr>
          <w:cnfStyle w:val="000000010000" w:firstRow="0" w:lastRow="0" w:firstColumn="0" w:lastColumn="0" w:oddVBand="0" w:evenVBand="0" w:oddHBand="0" w:evenHBand="1" w:firstRowFirstColumn="0" w:firstRowLastColumn="0" w:lastRowFirstColumn="0" w:lastRowLastColumn="0"/>
        </w:trPr>
        <w:tc>
          <w:tcPr>
            <w:tcW w:w="2410" w:type="dxa"/>
          </w:tcPr>
          <w:p w14:paraId="68EC1679" w14:textId="3059AEB9" w:rsidR="000624F2" w:rsidRDefault="000624F2" w:rsidP="00851D7C">
            <w:pPr>
              <w:spacing w:line="240" w:lineRule="auto"/>
              <w:rPr>
                <w:b/>
                <w:bCs/>
                <w:color w:val="404040" w:themeColor="text1"/>
                <w:lang w:val="en-AU"/>
              </w:rPr>
            </w:pPr>
            <w:r>
              <w:rPr>
                <w:b/>
                <w:bCs/>
                <w:color w:val="404040" w:themeColor="text1"/>
                <w:lang w:val="en-AU"/>
              </w:rPr>
              <w:t>Publishing Annual Report on the School’s Website</w:t>
            </w:r>
          </w:p>
        </w:tc>
        <w:tc>
          <w:tcPr>
            <w:tcW w:w="10631" w:type="dxa"/>
          </w:tcPr>
          <w:p w14:paraId="722887BA" w14:textId="7F16FEBF" w:rsidR="000624F2" w:rsidRPr="000624F2" w:rsidRDefault="000624F2" w:rsidP="000624F2">
            <w:pPr>
              <w:pStyle w:val="Text"/>
            </w:pPr>
            <w:r w:rsidRPr="000624F2">
              <w:t xml:space="preserve">The Education Act 1989 requires you to publish your Annual Report on-line. Your Annual Report contains your audited annual financial statements including our audit opinion, analysis of variance, list of trustees and </w:t>
            </w:r>
            <w:proofErr w:type="spellStart"/>
            <w:r w:rsidRPr="000624F2">
              <w:t>Kiwisport</w:t>
            </w:r>
            <w:proofErr w:type="spellEnd"/>
            <w:r w:rsidRPr="000624F2">
              <w:t xml:space="preserve"> statement. </w:t>
            </w:r>
          </w:p>
          <w:p w14:paraId="4427003D" w14:textId="72AFB6D5" w:rsidR="000624F2" w:rsidRPr="000624F2" w:rsidRDefault="000624F2" w:rsidP="000624F2">
            <w:pPr>
              <w:pStyle w:val="Text"/>
              <w:rPr>
                <w:b/>
                <w:bCs/>
              </w:rPr>
            </w:pPr>
            <w:r w:rsidRPr="000624F2">
              <w:rPr>
                <w:iCs/>
                <w:spacing w:val="-3"/>
                <w:lang w:val="en-GB"/>
              </w:rPr>
              <w:t xml:space="preserve">Making your Annual Report accessible to the school community is important for transparency and accountability. The expectation is that your Annual Report is published as soon as possible after your audit is completed, as the value of good accountability lessens over </w:t>
            </w:r>
            <w:r w:rsidRPr="00D07446">
              <w:rPr>
                <w:iCs/>
                <w:spacing w:val="-3"/>
                <w:lang w:val="en-GB"/>
              </w:rPr>
              <w:t>time</w:t>
            </w:r>
            <w:r w:rsidRPr="00D07446">
              <w:rPr>
                <w:iCs/>
                <w:color w:val="auto"/>
                <w:spacing w:val="-3"/>
                <w:lang w:val="en-GB"/>
              </w:rPr>
              <w:t>.  We note that at the time we carried out our audit, your 201</w:t>
            </w:r>
            <w:r w:rsidR="00D07446" w:rsidRPr="00D07446">
              <w:rPr>
                <w:iCs/>
                <w:color w:val="auto"/>
                <w:spacing w:val="-3"/>
                <w:lang w:val="en-GB"/>
              </w:rPr>
              <w:t>8</w:t>
            </w:r>
            <w:r w:rsidRPr="00D07446">
              <w:rPr>
                <w:iCs/>
                <w:color w:val="auto"/>
                <w:spacing w:val="-3"/>
                <w:lang w:val="en-GB"/>
              </w:rPr>
              <w:t xml:space="preserve"> Annual Report had not been published on your website. The </w:t>
            </w:r>
            <w:r w:rsidRPr="000624F2">
              <w:rPr>
                <w:iCs/>
                <w:spacing w:val="-3"/>
                <w:lang w:val="en-GB"/>
              </w:rPr>
              <w:t>failure to publish your Annual Report on your website is a breach of section 87AB of the Education Act 1989.</w:t>
            </w:r>
          </w:p>
        </w:tc>
      </w:tr>
    </w:tbl>
    <w:p w14:paraId="12841ED5" w14:textId="77777777" w:rsidR="00BB3EFB" w:rsidRDefault="00BB3EFB">
      <w:pPr>
        <w:rPr>
          <w:rFonts w:ascii="Trebuchet MS" w:hAnsi="Trebuchet MS"/>
          <w:b/>
          <w:color w:val="2EAFA4"/>
          <w:sz w:val="32"/>
          <w:lang w:val="en-AU"/>
        </w:rPr>
      </w:pPr>
      <w:r>
        <w:br w:type="page"/>
      </w:r>
    </w:p>
    <w:p w14:paraId="719F9A22" w14:textId="70A97E10" w:rsidR="00E672A8" w:rsidRPr="00F80CBD" w:rsidRDefault="00E672A8" w:rsidP="00A4751D">
      <w:pPr>
        <w:pStyle w:val="Heading2Appendix"/>
        <w:ind w:left="0" w:firstLine="0"/>
      </w:pPr>
      <w:bookmarkStart w:id="15" w:name="_Toc41313813"/>
      <w:r w:rsidRPr="00F80CBD">
        <w:lastRenderedPageBreak/>
        <w:t xml:space="preserve">APPENDIX 1 – </w:t>
      </w:r>
      <w:r w:rsidRPr="008A58BD">
        <w:t xml:space="preserve">ADJUSTED </w:t>
      </w:r>
      <w:r w:rsidRPr="00F80CBD">
        <w:t>DIFFERENCES</w:t>
      </w:r>
      <w:bookmarkStart w:id="16" w:name="_Toc260382565"/>
      <w:bookmarkEnd w:id="12"/>
      <w:bookmarkEnd w:id="15"/>
    </w:p>
    <w:p w14:paraId="12E8F281" w14:textId="77777777" w:rsidR="00E672A8" w:rsidRDefault="00E672A8" w:rsidP="00493AB4">
      <w:pPr>
        <w:spacing w:before="360"/>
        <w:rPr>
          <w:rStyle w:val="Emphasis"/>
        </w:rPr>
      </w:pPr>
      <w:r w:rsidRPr="00493AB4">
        <w:rPr>
          <w:rStyle w:val="Emphasis"/>
        </w:rPr>
        <w:t>AUDIT ADJUSTMENTS</w:t>
      </w:r>
    </w:p>
    <w:p w14:paraId="1B45A535" w14:textId="77777777" w:rsidR="00F0382F" w:rsidRDefault="00F0382F" w:rsidP="00F0382F">
      <w:pPr>
        <w:pStyle w:val="Text"/>
      </w:pPr>
      <w:r w:rsidRPr="00E672A8">
        <w:t xml:space="preserve">The following misstatements have been identified </w:t>
      </w:r>
      <w:proofErr w:type="gramStart"/>
      <w:r w:rsidRPr="00E672A8">
        <w:t>during the course of</w:t>
      </w:r>
      <w:proofErr w:type="gramEnd"/>
      <w:r w:rsidRPr="00E672A8">
        <w:t xml:space="preserve"> our audit, and </w:t>
      </w:r>
      <w:r>
        <w:rPr>
          <w:i/>
          <w:u w:val="single"/>
        </w:rPr>
        <w:t>have</w:t>
      </w:r>
      <w:r w:rsidRPr="00E672A8">
        <w:t xml:space="preserve"> been adjusted</w:t>
      </w:r>
      <w:r>
        <w:t>:</w:t>
      </w:r>
    </w:p>
    <w:tbl>
      <w:tblPr>
        <w:tblStyle w:val="BDOTable"/>
        <w:tblW w:w="13041" w:type="dxa"/>
        <w:tblLook w:val="01E0" w:firstRow="1" w:lastRow="1" w:firstColumn="1" w:lastColumn="1" w:noHBand="0" w:noVBand="0"/>
      </w:tblPr>
      <w:tblGrid>
        <w:gridCol w:w="7088"/>
        <w:gridCol w:w="1417"/>
        <w:gridCol w:w="1418"/>
        <w:gridCol w:w="1559"/>
        <w:gridCol w:w="1559"/>
      </w:tblGrid>
      <w:tr w:rsidR="00F0382F" w:rsidRPr="00E672A8" w14:paraId="48C9ED5E" w14:textId="77777777" w:rsidTr="00C23D54">
        <w:trPr>
          <w:cnfStyle w:val="100000000000" w:firstRow="1" w:lastRow="0" w:firstColumn="0" w:lastColumn="0" w:oddVBand="0" w:evenVBand="0" w:oddHBand="0" w:evenHBand="0" w:firstRowFirstColumn="0" w:firstRowLastColumn="0" w:lastRowFirstColumn="0" w:lastRowLastColumn="0"/>
          <w:trHeight w:val="340"/>
        </w:trPr>
        <w:tc>
          <w:tcPr>
            <w:cnfStyle w:val="000000000100" w:firstRow="0" w:lastRow="0" w:firstColumn="0" w:lastColumn="0" w:oddVBand="0" w:evenVBand="0" w:oddHBand="0" w:evenHBand="0" w:firstRowFirstColumn="1" w:firstRowLastColumn="0" w:lastRowFirstColumn="0" w:lastRowLastColumn="0"/>
            <w:tcW w:w="7088" w:type="dxa"/>
            <w:shd w:val="clear" w:color="auto" w:fill="404040" w:themeFill="text1"/>
          </w:tcPr>
          <w:p w14:paraId="59DFA311" w14:textId="77777777" w:rsidR="00F0382F" w:rsidRPr="00014807" w:rsidRDefault="00F0382F" w:rsidP="00C23D54">
            <w:pPr>
              <w:spacing w:after="0" w:line="259" w:lineRule="auto"/>
              <w:rPr>
                <w:color w:val="FFFFFF" w:themeColor="background1"/>
                <w:lang w:val="en-AU"/>
              </w:rPr>
            </w:pPr>
            <w:r w:rsidRPr="00014807">
              <w:rPr>
                <w:color w:val="FFFFFF" w:themeColor="background1"/>
                <w:lang w:val="en-AU"/>
              </w:rPr>
              <w:t>Description</w:t>
            </w:r>
          </w:p>
        </w:tc>
        <w:tc>
          <w:tcPr>
            <w:tcW w:w="1417" w:type="dxa"/>
            <w:shd w:val="clear" w:color="auto" w:fill="404040" w:themeFill="text1"/>
          </w:tcPr>
          <w:p w14:paraId="737FA195" w14:textId="77777777" w:rsidR="00F0382F" w:rsidRPr="00014807" w:rsidRDefault="00F0382F" w:rsidP="00C23D54">
            <w:pPr>
              <w:spacing w:after="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AU"/>
              </w:rPr>
            </w:pPr>
            <w:r w:rsidRPr="00014807">
              <w:rPr>
                <w:color w:val="FFFFFF" w:themeColor="background1"/>
                <w:lang w:val="en-AU"/>
              </w:rPr>
              <w:t>Assets</w:t>
            </w:r>
          </w:p>
        </w:tc>
        <w:tc>
          <w:tcPr>
            <w:tcW w:w="1418" w:type="dxa"/>
            <w:shd w:val="clear" w:color="auto" w:fill="404040" w:themeFill="text1"/>
          </w:tcPr>
          <w:p w14:paraId="0266CC3D" w14:textId="77777777" w:rsidR="00F0382F" w:rsidRPr="00014807" w:rsidRDefault="00F0382F" w:rsidP="00C23D54">
            <w:pPr>
              <w:spacing w:after="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AU"/>
              </w:rPr>
            </w:pPr>
            <w:r w:rsidRPr="00014807">
              <w:rPr>
                <w:color w:val="FFFFFF" w:themeColor="background1"/>
                <w:lang w:val="en-AU"/>
              </w:rPr>
              <w:t>Liabilities</w:t>
            </w:r>
          </w:p>
        </w:tc>
        <w:tc>
          <w:tcPr>
            <w:tcW w:w="1559" w:type="dxa"/>
            <w:shd w:val="clear" w:color="auto" w:fill="404040" w:themeFill="text1"/>
          </w:tcPr>
          <w:p w14:paraId="3CB6046C" w14:textId="77777777" w:rsidR="00F0382F" w:rsidRPr="00014807" w:rsidRDefault="00F0382F" w:rsidP="00C23D54">
            <w:pPr>
              <w:spacing w:after="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AU"/>
              </w:rPr>
            </w:pPr>
            <w:r w:rsidRPr="00014807">
              <w:rPr>
                <w:color w:val="FFFFFF" w:themeColor="background1"/>
                <w:lang w:val="en-AU"/>
              </w:rPr>
              <w:t>Reserves</w:t>
            </w:r>
          </w:p>
        </w:tc>
        <w:tc>
          <w:tcPr>
            <w:tcW w:w="1559" w:type="dxa"/>
            <w:shd w:val="clear" w:color="auto" w:fill="404040" w:themeFill="text1"/>
          </w:tcPr>
          <w:p w14:paraId="2DD468EC" w14:textId="77777777" w:rsidR="00F0382F" w:rsidRPr="00014807" w:rsidRDefault="00F0382F" w:rsidP="00C23D54">
            <w:pPr>
              <w:spacing w:after="0"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AU"/>
              </w:rPr>
            </w:pPr>
            <w:r w:rsidRPr="00014807">
              <w:rPr>
                <w:color w:val="FFFFFF" w:themeColor="background1"/>
                <w:lang w:val="en-AU"/>
              </w:rPr>
              <w:t>Profit</w:t>
            </w:r>
          </w:p>
        </w:tc>
      </w:tr>
      <w:tr w:rsidR="00F0382F" w:rsidRPr="00E672A8" w14:paraId="6C2A51D4" w14:textId="77777777" w:rsidTr="00C23D54">
        <w:trPr>
          <w:cnfStyle w:val="000000100000" w:firstRow="0" w:lastRow="0" w:firstColumn="0" w:lastColumn="0" w:oddVBand="0" w:evenVBand="0" w:oddHBand="1" w:evenHBand="0" w:firstRowFirstColumn="0" w:firstRowLastColumn="0" w:lastRowFirstColumn="0" w:lastRowLastColumn="0"/>
          <w:trHeight w:val="340"/>
        </w:trPr>
        <w:tc>
          <w:tcPr>
            <w:tcW w:w="7088" w:type="dxa"/>
          </w:tcPr>
          <w:p w14:paraId="05A3FB81" w14:textId="77777777" w:rsidR="00F0382F" w:rsidRPr="00E672A8" w:rsidRDefault="00F0382F" w:rsidP="00C23D54">
            <w:pPr>
              <w:pStyle w:val="Text"/>
            </w:pPr>
          </w:p>
        </w:tc>
        <w:tc>
          <w:tcPr>
            <w:tcW w:w="1417" w:type="dxa"/>
          </w:tcPr>
          <w:p w14:paraId="7EF43ADB" w14:textId="77777777" w:rsidR="00F0382F" w:rsidRPr="00E672A8" w:rsidRDefault="00F0382F" w:rsidP="00C23D54">
            <w:pPr>
              <w:pStyle w:val="Text"/>
              <w:jc w:val="center"/>
            </w:pPr>
            <w:r w:rsidRPr="00E672A8">
              <w:t>Dr(Cr)</w:t>
            </w:r>
          </w:p>
        </w:tc>
        <w:tc>
          <w:tcPr>
            <w:tcW w:w="1418" w:type="dxa"/>
          </w:tcPr>
          <w:p w14:paraId="7A82F032" w14:textId="77777777" w:rsidR="00F0382F" w:rsidRPr="00E672A8" w:rsidRDefault="00F0382F" w:rsidP="00C23D54">
            <w:pPr>
              <w:pStyle w:val="Text"/>
              <w:jc w:val="center"/>
            </w:pPr>
            <w:r w:rsidRPr="00E672A8">
              <w:t>Dr(Cr)</w:t>
            </w:r>
          </w:p>
        </w:tc>
        <w:tc>
          <w:tcPr>
            <w:tcW w:w="1559" w:type="dxa"/>
          </w:tcPr>
          <w:p w14:paraId="0C45AC1F" w14:textId="77777777" w:rsidR="00F0382F" w:rsidRPr="00E672A8" w:rsidRDefault="00F0382F" w:rsidP="00C23D54">
            <w:pPr>
              <w:pStyle w:val="Text"/>
              <w:jc w:val="center"/>
            </w:pPr>
            <w:r w:rsidRPr="00E672A8">
              <w:t>Dr(Cr)</w:t>
            </w:r>
          </w:p>
        </w:tc>
        <w:tc>
          <w:tcPr>
            <w:tcW w:w="1559" w:type="dxa"/>
          </w:tcPr>
          <w:p w14:paraId="67E8E1C6" w14:textId="77777777" w:rsidR="00F0382F" w:rsidRPr="00E672A8" w:rsidRDefault="00F0382F" w:rsidP="00C23D54">
            <w:pPr>
              <w:pStyle w:val="Text"/>
              <w:jc w:val="center"/>
            </w:pPr>
            <w:r w:rsidRPr="00E672A8">
              <w:t>Dr(Cr)</w:t>
            </w:r>
          </w:p>
        </w:tc>
      </w:tr>
      <w:tr w:rsidR="00F0382F" w:rsidRPr="00E672A8" w14:paraId="687853E6" w14:textId="77777777" w:rsidTr="00C23D54">
        <w:trPr>
          <w:cnfStyle w:val="000000010000" w:firstRow="0" w:lastRow="0" w:firstColumn="0" w:lastColumn="0" w:oddVBand="0" w:evenVBand="0" w:oddHBand="0" w:evenHBand="1" w:firstRowFirstColumn="0" w:firstRowLastColumn="0" w:lastRowFirstColumn="0" w:lastRowLastColumn="0"/>
          <w:trHeight w:val="340"/>
        </w:trPr>
        <w:tc>
          <w:tcPr>
            <w:tcW w:w="7088" w:type="dxa"/>
          </w:tcPr>
          <w:p w14:paraId="2E92173F" w14:textId="77777777" w:rsidR="00F0382F" w:rsidRPr="00E672A8" w:rsidRDefault="00F0382F" w:rsidP="00C23D54">
            <w:pPr>
              <w:pStyle w:val="Text"/>
            </w:pPr>
          </w:p>
        </w:tc>
        <w:tc>
          <w:tcPr>
            <w:tcW w:w="1417" w:type="dxa"/>
          </w:tcPr>
          <w:p w14:paraId="35928EA6" w14:textId="77777777" w:rsidR="00F0382F" w:rsidRPr="00E672A8" w:rsidRDefault="00F0382F" w:rsidP="00C23D54">
            <w:pPr>
              <w:pStyle w:val="Text"/>
              <w:jc w:val="center"/>
            </w:pPr>
            <w:r w:rsidRPr="00E672A8">
              <w:t>$</w:t>
            </w:r>
          </w:p>
        </w:tc>
        <w:tc>
          <w:tcPr>
            <w:tcW w:w="1418" w:type="dxa"/>
          </w:tcPr>
          <w:p w14:paraId="52774A13" w14:textId="77777777" w:rsidR="00F0382F" w:rsidRPr="00E672A8" w:rsidRDefault="00F0382F" w:rsidP="00C23D54">
            <w:pPr>
              <w:pStyle w:val="Text"/>
              <w:jc w:val="center"/>
            </w:pPr>
            <w:r w:rsidRPr="00E672A8">
              <w:t>$</w:t>
            </w:r>
          </w:p>
        </w:tc>
        <w:tc>
          <w:tcPr>
            <w:tcW w:w="1559" w:type="dxa"/>
          </w:tcPr>
          <w:p w14:paraId="45619797" w14:textId="77777777" w:rsidR="00F0382F" w:rsidRPr="00E672A8" w:rsidRDefault="00F0382F" w:rsidP="00C23D54">
            <w:pPr>
              <w:pStyle w:val="Text"/>
              <w:jc w:val="center"/>
            </w:pPr>
            <w:r w:rsidRPr="00E672A8">
              <w:t>$</w:t>
            </w:r>
          </w:p>
        </w:tc>
        <w:tc>
          <w:tcPr>
            <w:tcW w:w="1559" w:type="dxa"/>
          </w:tcPr>
          <w:p w14:paraId="4C0149C8" w14:textId="77777777" w:rsidR="00F0382F" w:rsidRPr="00E672A8" w:rsidRDefault="00F0382F" w:rsidP="00C23D54">
            <w:pPr>
              <w:pStyle w:val="Text"/>
              <w:jc w:val="center"/>
            </w:pPr>
            <w:r w:rsidRPr="00E672A8">
              <w:t>$</w:t>
            </w:r>
          </w:p>
        </w:tc>
      </w:tr>
      <w:tr w:rsidR="00F0382F" w:rsidRPr="00E672A8" w14:paraId="3F0E0C70" w14:textId="77777777" w:rsidTr="00C23D54">
        <w:trPr>
          <w:cnfStyle w:val="000000100000" w:firstRow="0" w:lastRow="0" w:firstColumn="0" w:lastColumn="0" w:oddVBand="0" w:evenVBand="0" w:oddHBand="1" w:evenHBand="0" w:firstRowFirstColumn="0" w:firstRowLastColumn="0" w:lastRowFirstColumn="0" w:lastRowLastColumn="0"/>
          <w:trHeight w:val="340"/>
        </w:trPr>
        <w:tc>
          <w:tcPr>
            <w:tcW w:w="7088" w:type="dxa"/>
          </w:tcPr>
          <w:p w14:paraId="6B377B04" w14:textId="50441E22" w:rsidR="00F0382F" w:rsidRPr="008A58BD" w:rsidRDefault="00674E53" w:rsidP="00C23D54">
            <w:pPr>
              <w:pStyle w:val="Text"/>
            </w:pPr>
            <w:r w:rsidRPr="008A58BD">
              <w:t xml:space="preserve">Accounting for banking staffing for </w:t>
            </w:r>
            <w:r w:rsidR="008A58BD" w:rsidRPr="008A58BD">
              <w:t>the year</w:t>
            </w:r>
          </w:p>
        </w:tc>
        <w:tc>
          <w:tcPr>
            <w:tcW w:w="1417" w:type="dxa"/>
          </w:tcPr>
          <w:p w14:paraId="4A7727D6" w14:textId="1426653F" w:rsidR="00F0382F" w:rsidRPr="008A58BD" w:rsidRDefault="00674E53" w:rsidP="00C23D54">
            <w:pPr>
              <w:pStyle w:val="Text"/>
              <w:jc w:val="right"/>
            </w:pPr>
            <w:r w:rsidRPr="008A58BD">
              <w:t>28,668</w:t>
            </w:r>
          </w:p>
        </w:tc>
        <w:tc>
          <w:tcPr>
            <w:tcW w:w="1418" w:type="dxa"/>
          </w:tcPr>
          <w:p w14:paraId="58401F6C" w14:textId="77777777" w:rsidR="00F0382F" w:rsidRPr="008A58BD" w:rsidRDefault="00F0382F" w:rsidP="00C23D54">
            <w:pPr>
              <w:pStyle w:val="Text"/>
              <w:jc w:val="right"/>
            </w:pPr>
          </w:p>
        </w:tc>
        <w:tc>
          <w:tcPr>
            <w:tcW w:w="1559" w:type="dxa"/>
          </w:tcPr>
          <w:p w14:paraId="2F02548B" w14:textId="77777777" w:rsidR="00F0382F" w:rsidRPr="008A58BD" w:rsidRDefault="00F0382F" w:rsidP="00C23D54">
            <w:pPr>
              <w:pStyle w:val="Text"/>
              <w:jc w:val="right"/>
            </w:pPr>
          </w:p>
        </w:tc>
        <w:tc>
          <w:tcPr>
            <w:tcW w:w="1559" w:type="dxa"/>
          </w:tcPr>
          <w:p w14:paraId="077217F7" w14:textId="2C3FB7F4" w:rsidR="00F0382F" w:rsidRPr="008A58BD" w:rsidRDefault="00674E53" w:rsidP="00C23D54">
            <w:pPr>
              <w:pStyle w:val="Text"/>
              <w:jc w:val="right"/>
            </w:pPr>
            <w:r w:rsidRPr="008A58BD">
              <w:t>(28,668)</w:t>
            </w:r>
          </w:p>
        </w:tc>
      </w:tr>
      <w:tr w:rsidR="00F0382F" w:rsidRPr="00E672A8" w14:paraId="6F491387" w14:textId="77777777" w:rsidTr="00C23D54">
        <w:trPr>
          <w:cnfStyle w:val="000000010000" w:firstRow="0" w:lastRow="0" w:firstColumn="0" w:lastColumn="0" w:oddVBand="0" w:evenVBand="0" w:oddHBand="0" w:evenHBand="1" w:firstRowFirstColumn="0" w:firstRowLastColumn="0" w:lastRowFirstColumn="0" w:lastRowLastColumn="0"/>
          <w:trHeight w:val="340"/>
        </w:trPr>
        <w:tc>
          <w:tcPr>
            <w:tcW w:w="7088" w:type="dxa"/>
          </w:tcPr>
          <w:p w14:paraId="18FFF6E3" w14:textId="77777777" w:rsidR="00F0382F" w:rsidRPr="00E672A8" w:rsidRDefault="00F0382F" w:rsidP="00C23D54">
            <w:pPr>
              <w:pStyle w:val="Text"/>
            </w:pPr>
          </w:p>
        </w:tc>
        <w:tc>
          <w:tcPr>
            <w:tcW w:w="1417" w:type="dxa"/>
            <w:tcBorders>
              <w:bottom w:val="double" w:sz="4" w:space="0" w:color="auto"/>
            </w:tcBorders>
          </w:tcPr>
          <w:p w14:paraId="2EAF1FE8" w14:textId="77777777" w:rsidR="00F0382F" w:rsidRPr="00E672A8" w:rsidRDefault="00F0382F" w:rsidP="00C23D54">
            <w:pPr>
              <w:pStyle w:val="Text"/>
              <w:jc w:val="right"/>
            </w:pPr>
          </w:p>
        </w:tc>
        <w:tc>
          <w:tcPr>
            <w:tcW w:w="1418" w:type="dxa"/>
            <w:tcBorders>
              <w:bottom w:val="double" w:sz="4" w:space="0" w:color="auto"/>
            </w:tcBorders>
          </w:tcPr>
          <w:p w14:paraId="0F67DF07" w14:textId="77777777" w:rsidR="00F0382F" w:rsidRPr="00E672A8" w:rsidRDefault="00F0382F" w:rsidP="00C23D54">
            <w:pPr>
              <w:pStyle w:val="Text"/>
              <w:jc w:val="right"/>
            </w:pPr>
          </w:p>
        </w:tc>
        <w:tc>
          <w:tcPr>
            <w:tcW w:w="1559" w:type="dxa"/>
            <w:tcBorders>
              <w:bottom w:val="double" w:sz="4" w:space="0" w:color="auto"/>
            </w:tcBorders>
          </w:tcPr>
          <w:p w14:paraId="1EE3B78F" w14:textId="77777777" w:rsidR="00F0382F" w:rsidRPr="00E672A8" w:rsidRDefault="00F0382F" w:rsidP="00C23D54">
            <w:pPr>
              <w:pStyle w:val="Text"/>
              <w:jc w:val="right"/>
            </w:pPr>
          </w:p>
        </w:tc>
        <w:tc>
          <w:tcPr>
            <w:tcW w:w="1559" w:type="dxa"/>
            <w:tcBorders>
              <w:bottom w:val="double" w:sz="4" w:space="0" w:color="auto"/>
            </w:tcBorders>
          </w:tcPr>
          <w:p w14:paraId="21059C47" w14:textId="77777777" w:rsidR="00F0382F" w:rsidRPr="00E672A8" w:rsidRDefault="00F0382F" w:rsidP="00C23D54">
            <w:pPr>
              <w:pStyle w:val="Text"/>
              <w:jc w:val="right"/>
            </w:pPr>
          </w:p>
        </w:tc>
      </w:tr>
      <w:tr w:rsidR="00F0382F" w:rsidRPr="00E672A8" w14:paraId="66AD22DE" w14:textId="77777777" w:rsidTr="00C23D54">
        <w:trPr>
          <w:cnfStyle w:val="010000000000" w:firstRow="0" w:lastRow="1" w:firstColumn="0" w:lastColumn="0" w:oddVBand="0" w:evenVBand="0" w:oddHBand="0" w:evenHBand="0" w:firstRowFirstColumn="0" w:firstRowLastColumn="0" w:lastRowFirstColumn="0" w:lastRowLastColumn="0"/>
          <w:trHeight w:val="340"/>
        </w:trPr>
        <w:tc>
          <w:tcPr>
            <w:tcW w:w="7088" w:type="dxa"/>
          </w:tcPr>
          <w:p w14:paraId="617F03AC" w14:textId="77777777" w:rsidR="00F0382F" w:rsidRPr="00E672A8" w:rsidRDefault="00F0382F" w:rsidP="00F0382F">
            <w:pPr>
              <w:pStyle w:val="Text"/>
            </w:pPr>
            <w:r w:rsidRPr="00E672A8">
              <w:t>Net Effect of Adjustments made:</w:t>
            </w:r>
          </w:p>
        </w:tc>
        <w:tc>
          <w:tcPr>
            <w:tcW w:w="1417" w:type="dxa"/>
            <w:tcBorders>
              <w:top w:val="double" w:sz="4" w:space="0" w:color="auto"/>
              <w:bottom w:val="double" w:sz="4" w:space="0" w:color="auto"/>
            </w:tcBorders>
          </w:tcPr>
          <w:p w14:paraId="60BCD166" w14:textId="4D4E90D6" w:rsidR="00F0382F" w:rsidRPr="00E672A8" w:rsidRDefault="00674E53" w:rsidP="00C23D54">
            <w:pPr>
              <w:pStyle w:val="Text"/>
              <w:jc w:val="right"/>
            </w:pPr>
            <w:r>
              <w:t>28,668</w:t>
            </w:r>
          </w:p>
        </w:tc>
        <w:tc>
          <w:tcPr>
            <w:tcW w:w="1418" w:type="dxa"/>
            <w:tcBorders>
              <w:top w:val="double" w:sz="4" w:space="0" w:color="auto"/>
              <w:bottom w:val="double" w:sz="4" w:space="0" w:color="auto"/>
            </w:tcBorders>
          </w:tcPr>
          <w:p w14:paraId="46BA0FD2" w14:textId="77777777" w:rsidR="00F0382F" w:rsidRPr="00E672A8" w:rsidRDefault="00F0382F" w:rsidP="00C23D54">
            <w:pPr>
              <w:pStyle w:val="Text"/>
              <w:jc w:val="right"/>
            </w:pPr>
          </w:p>
        </w:tc>
        <w:tc>
          <w:tcPr>
            <w:tcW w:w="1559" w:type="dxa"/>
            <w:tcBorders>
              <w:top w:val="double" w:sz="4" w:space="0" w:color="auto"/>
              <w:bottom w:val="double" w:sz="4" w:space="0" w:color="auto"/>
            </w:tcBorders>
          </w:tcPr>
          <w:p w14:paraId="6AFDB5FE" w14:textId="77777777" w:rsidR="00F0382F" w:rsidRPr="00E672A8" w:rsidRDefault="00F0382F" w:rsidP="00C23D54">
            <w:pPr>
              <w:pStyle w:val="Text"/>
              <w:jc w:val="right"/>
            </w:pPr>
          </w:p>
        </w:tc>
        <w:tc>
          <w:tcPr>
            <w:tcW w:w="1559" w:type="dxa"/>
            <w:tcBorders>
              <w:top w:val="double" w:sz="4" w:space="0" w:color="auto"/>
              <w:bottom w:val="double" w:sz="4" w:space="0" w:color="auto"/>
            </w:tcBorders>
          </w:tcPr>
          <w:p w14:paraId="223BAEC9" w14:textId="56FA0B04" w:rsidR="00F0382F" w:rsidRPr="00E672A8" w:rsidRDefault="00674E53" w:rsidP="00C23D54">
            <w:pPr>
              <w:pStyle w:val="Text"/>
              <w:jc w:val="right"/>
            </w:pPr>
            <w:r>
              <w:t>(28,668)</w:t>
            </w:r>
          </w:p>
        </w:tc>
      </w:tr>
    </w:tbl>
    <w:p w14:paraId="1B1F944A" w14:textId="77777777" w:rsidR="00C77A76" w:rsidRDefault="00C77A76">
      <w:pPr>
        <w:rPr>
          <w:rStyle w:val="Emphasis"/>
        </w:rPr>
      </w:pPr>
      <w:r>
        <w:rPr>
          <w:rStyle w:val="Emphasis"/>
        </w:rPr>
        <w:br w:type="page"/>
      </w:r>
    </w:p>
    <w:p w14:paraId="767A539D" w14:textId="3F77377A" w:rsidR="00337514" w:rsidRDefault="00D3520A" w:rsidP="00337514">
      <w:pPr>
        <w:pStyle w:val="Heading2Appendix"/>
      </w:pPr>
      <w:bookmarkStart w:id="17" w:name="_Toc41313814"/>
      <w:bookmarkEnd w:id="16"/>
      <w:r w:rsidRPr="00E61D93">
        <w:rPr>
          <w:rStyle w:val="TOCHeadingBDOChar"/>
          <w:b/>
          <w:caps/>
          <w:szCs w:val="22"/>
        </w:rPr>
        <w:lastRenderedPageBreak/>
        <w:t xml:space="preserve">APPENDIX 2 - UPDATE ON </w:t>
      </w:r>
      <w:r w:rsidR="00937845" w:rsidRPr="00E61D93">
        <w:rPr>
          <w:rStyle w:val="TOCHeadingBDOChar"/>
          <w:b/>
          <w:caps/>
          <w:szCs w:val="22"/>
        </w:rPr>
        <w:t>FINDINGS FROM PRIOR YEAR</w:t>
      </w:r>
      <w:bookmarkEnd w:id="17"/>
    </w:p>
    <w:tbl>
      <w:tblPr>
        <w:tblStyle w:val="BDOTableStyle"/>
        <w:tblW w:w="13041" w:type="dxa"/>
        <w:tblLook w:val="04A0" w:firstRow="1" w:lastRow="0" w:firstColumn="1" w:lastColumn="0" w:noHBand="0" w:noVBand="1"/>
      </w:tblPr>
      <w:tblGrid>
        <w:gridCol w:w="4252"/>
        <w:gridCol w:w="8789"/>
      </w:tblGrid>
      <w:tr w:rsidR="00337514" w14:paraId="24DCB5BD" w14:textId="77777777" w:rsidTr="007013BB">
        <w:trPr>
          <w:cnfStyle w:val="100000000000" w:firstRow="1" w:lastRow="0" w:firstColumn="0" w:lastColumn="0" w:oddVBand="0" w:evenVBand="0" w:oddHBand="0" w:evenHBand="0" w:firstRowFirstColumn="0" w:firstRowLastColumn="0" w:lastRowFirstColumn="0" w:lastRowLastColumn="0"/>
        </w:trPr>
        <w:tc>
          <w:tcPr>
            <w:tcW w:w="13041" w:type="dxa"/>
            <w:gridSpan w:val="2"/>
          </w:tcPr>
          <w:p w14:paraId="4DE6A88B" w14:textId="7443B13D" w:rsidR="00337514" w:rsidRDefault="00491944" w:rsidP="00193446">
            <w:pPr>
              <w:pStyle w:val="TableSubheading"/>
            </w:pPr>
            <w:r>
              <w:t>Continuous</w:t>
            </w:r>
            <w:r w:rsidR="0009699F">
              <w:t xml:space="preserve"> deficit</w:t>
            </w:r>
            <w:r>
              <w:t>s</w:t>
            </w:r>
          </w:p>
        </w:tc>
      </w:tr>
      <w:tr w:rsidR="00337514" w14:paraId="336F79A9" w14:textId="77777777" w:rsidTr="007013BB">
        <w:trPr>
          <w:cnfStyle w:val="000000100000" w:firstRow="0" w:lastRow="0" w:firstColumn="0" w:lastColumn="0" w:oddVBand="0" w:evenVBand="0" w:oddHBand="1" w:evenHBand="0" w:firstRowFirstColumn="0" w:firstRowLastColumn="0" w:lastRowFirstColumn="0" w:lastRowLastColumn="0"/>
        </w:trPr>
        <w:tc>
          <w:tcPr>
            <w:tcW w:w="4252" w:type="dxa"/>
            <w:shd w:val="clear" w:color="auto" w:fill="DF8639" w:themeFill="accent3"/>
          </w:tcPr>
          <w:p w14:paraId="4234D3F3" w14:textId="77777777" w:rsidR="00337514" w:rsidRPr="003F7898" w:rsidRDefault="00337514" w:rsidP="00193446">
            <w:pPr>
              <w:pStyle w:val="TableSubheading"/>
            </w:pPr>
            <w:r>
              <w:t>Finding</w:t>
            </w:r>
          </w:p>
        </w:tc>
        <w:tc>
          <w:tcPr>
            <w:tcW w:w="8789" w:type="dxa"/>
            <w:shd w:val="clear" w:color="auto" w:fill="DF8639" w:themeFill="accent3"/>
          </w:tcPr>
          <w:p w14:paraId="7FB3E545" w14:textId="77777777" w:rsidR="00337514" w:rsidRPr="003F7898" w:rsidRDefault="00337514" w:rsidP="00193446">
            <w:pPr>
              <w:pStyle w:val="TableSubheading"/>
            </w:pPr>
            <w:r>
              <w:t>Update</w:t>
            </w:r>
          </w:p>
        </w:tc>
      </w:tr>
      <w:tr w:rsidR="00337514" w14:paraId="038EB56A" w14:textId="77777777" w:rsidTr="007013BB">
        <w:tc>
          <w:tcPr>
            <w:tcW w:w="4252" w:type="dxa"/>
          </w:tcPr>
          <w:p w14:paraId="569B09F5" w14:textId="0E80D4D4" w:rsidR="00337514" w:rsidRDefault="0009699F" w:rsidP="00193446">
            <w:pPr>
              <w:pStyle w:val="Text"/>
            </w:pPr>
            <w:r>
              <w:t xml:space="preserve">We note </w:t>
            </w:r>
            <w:r w:rsidR="00652D8B">
              <w:t>that the school has had a $64.7k deficit for 2018. The school also made a loss of $74.6k for the 2017 year.</w:t>
            </w:r>
          </w:p>
        </w:tc>
        <w:tc>
          <w:tcPr>
            <w:tcW w:w="8789" w:type="dxa"/>
          </w:tcPr>
          <w:p w14:paraId="66382CAE" w14:textId="0CC5D655" w:rsidR="00337514" w:rsidRDefault="0009699F" w:rsidP="00193446">
            <w:pPr>
              <w:pStyle w:val="Text"/>
            </w:pPr>
            <w:r>
              <w:t>Re</w:t>
            </w:r>
            <w:r w:rsidR="00652D8B">
              <w:t>-</w:t>
            </w:r>
            <w:r>
              <w:t xml:space="preserve">raised due to </w:t>
            </w:r>
            <w:r w:rsidR="00652D8B">
              <w:t>2019 making another deficit of $</w:t>
            </w:r>
            <w:r>
              <w:t>114</w:t>
            </w:r>
            <w:r w:rsidR="00652D8B">
              <w:t xml:space="preserve">.5k. </w:t>
            </w:r>
            <w:r>
              <w:t xml:space="preserve"> </w:t>
            </w:r>
          </w:p>
          <w:p w14:paraId="611BFF4D" w14:textId="77777777" w:rsidR="0009699F" w:rsidRDefault="00652D8B" w:rsidP="00193446">
            <w:pPr>
              <w:pStyle w:val="Text"/>
            </w:pPr>
            <w:r>
              <w:t xml:space="preserve">We do note that this fact </w:t>
            </w:r>
            <w:proofErr w:type="gramStart"/>
            <w:r>
              <w:t>in itself does</w:t>
            </w:r>
            <w:proofErr w:type="gramEnd"/>
            <w:r>
              <w:t xml:space="preserve"> not pose a going concern issue.</w:t>
            </w:r>
          </w:p>
          <w:p w14:paraId="0DA19130" w14:textId="77777777" w:rsidR="00652D8B" w:rsidRDefault="00652D8B" w:rsidP="00193446">
            <w:pPr>
              <w:pStyle w:val="Text"/>
            </w:pPr>
            <w:proofErr w:type="gramStart"/>
            <w:r>
              <w:t>However</w:t>
            </w:r>
            <w:proofErr w:type="gramEnd"/>
            <w:r>
              <w:t xml:space="preserve"> this level of losses is not sustainable, and will continue to erode the financial position of the school, if continued.</w:t>
            </w:r>
          </w:p>
          <w:p w14:paraId="14D9D360" w14:textId="68977F0F" w:rsidR="00652D8B" w:rsidRDefault="00652D8B" w:rsidP="00193446">
            <w:pPr>
              <w:pStyle w:val="Text"/>
            </w:pPr>
            <w:r>
              <w:t xml:space="preserve">We recommend that where deficits are forecast, a clear path back to break even or surplus is developed to ensure that deficits are sustainably managed. If </w:t>
            </w:r>
            <w:proofErr w:type="gramStart"/>
            <w:r>
              <w:t>not</w:t>
            </w:r>
            <w:proofErr w:type="gramEnd"/>
            <w:r>
              <w:t xml:space="preserve"> then in the long term the school may face financial difficulties if this trend continues. </w:t>
            </w:r>
          </w:p>
        </w:tc>
      </w:tr>
    </w:tbl>
    <w:p w14:paraId="14D24514" w14:textId="77777777" w:rsidR="00337514" w:rsidRDefault="00337514" w:rsidP="00337514">
      <w:pPr>
        <w:pStyle w:val="Text"/>
      </w:pPr>
    </w:p>
    <w:p w14:paraId="58188819" w14:textId="77777777" w:rsidR="00337514" w:rsidRDefault="00337514" w:rsidP="00337514">
      <w:pPr>
        <w:pStyle w:val="Text"/>
      </w:pPr>
    </w:p>
    <w:p w14:paraId="062A277F" w14:textId="77777777" w:rsidR="00337514" w:rsidRDefault="00337514" w:rsidP="00337514">
      <w:pPr>
        <w:pStyle w:val="Text"/>
      </w:pPr>
    </w:p>
    <w:p w14:paraId="05717DDB" w14:textId="77777777" w:rsidR="00E61D93" w:rsidRPr="00E97D63" w:rsidRDefault="00E61D93" w:rsidP="00664E6D">
      <w:pPr>
        <w:pStyle w:val="Text"/>
        <w:rPr>
          <w:rFonts w:ascii="Trebuchet MS Bold" w:hAnsi="Trebuchet MS Bold"/>
          <w:color w:val="218F8B" w:themeColor="accent2"/>
          <w:sz w:val="32"/>
        </w:rPr>
      </w:pPr>
    </w:p>
    <w:sectPr w:rsidR="00E61D93" w:rsidRPr="00E97D63" w:rsidSect="0077387D">
      <w:footerReference w:type="default" r:id="rId20"/>
      <w:pgSz w:w="16840" w:h="11907" w:orient="landscape" w:code="9"/>
      <w:pgMar w:top="1701" w:right="1843" w:bottom="1701" w:left="1985" w:header="720" w:footer="9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B67B" w14:textId="77777777" w:rsidR="009A238F" w:rsidRDefault="009A238F" w:rsidP="003169ED">
      <w:pPr>
        <w:spacing w:after="0" w:line="240" w:lineRule="auto"/>
      </w:pPr>
      <w:r>
        <w:separator/>
      </w:r>
    </w:p>
  </w:endnote>
  <w:endnote w:type="continuationSeparator" w:id="0">
    <w:p w14:paraId="4F1ABE7F" w14:textId="77777777" w:rsidR="009A238F" w:rsidRDefault="009A238F" w:rsidP="003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 MS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172A" w14:textId="77777777" w:rsidR="007C4DAC" w:rsidRDefault="00CC4910" w:rsidP="007C4DAC">
    <w:pPr>
      <w:pStyle w:val="Footer"/>
      <w:tabs>
        <w:tab w:val="clear" w:pos="9026"/>
        <w:tab w:val="right" w:pos="8505"/>
      </w:tabs>
      <w:jc w:val="right"/>
      <w:rPr>
        <w:sz w:val="18"/>
        <w:szCs w:val="18"/>
      </w:rPr>
    </w:pPr>
    <w:r>
      <w:rPr>
        <w:color w:val="auto"/>
      </w:rPr>
      <w:pict w14:anchorId="0DA8E87B">
        <v:rect id="_x0000_i1026" style="width:425.25pt;height:1pt" o:hralign="center" o:hrstd="t" o:hr="t" fillcolor="#a0a0a0" stroked="f"/>
      </w:pict>
    </w:r>
  </w:p>
  <w:p w14:paraId="663565CC" w14:textId="77777777" w:rsidR="00612977" w:rsidRDefault="007C4DAC" w:rsidP="007C4DAC">
    <w:pPr>
      <w:pStyle w:val="Footer"/>
      <w:jc w:val="right"/>
    </w:pPr>
    <w:r w:rsidRPr="00DC176C">
      <w:rPr>
        <w:color w:val="404040" w:themeColor="text1"/>
        <w:sz w:val="18"/>
        <w:szCs w:val="18"/>
      </w:rPr>
      <w:t xml:space="preserve">Page </w:t>
    </w:r>
    <w:r w:rsidRPr="00DC176C">
      <w:rPr>
        <w:bCs/>
        <w:color w:val="404040" w:themeColor="text1"/>
        <w:sz w:val="18"/>
        <w:szCs w:val="18"/>
      </w:rPr>
      <w:fldChar w:fldCharType="begin"/>
    </w:r>
    <w:r w:rsidRPr="00DC176C">
      <w:rPr>
        <w:bCs/>
        <w:color w:val="404040" w:themeColor="text1"/>
        <w:sz w:val="18"/>
        <w:szCs w:val="18"/>
      </w:rPr>
      <w:instrText xml:space="preserve"> PAGE </w:instrText>
    </w:r>
    <w:r w:rsidRPr="00DC176C">
      <w:rPr>
        <w:bCs/>
        <w:color w:val="404040" w:themeColor="text1"/>
        <w:sz w:val="18"/>
        <w:szCs w:val="18"/>
      </w:rPr>
      <w:fldChar w:fldCharType="separate"/>
    </w:r>
    <w:r w:rsidR="007B2DDF">
      <w:rPr>
        <w:bCs/>
        <w:noProof/>
        <w:color w:val="404040" w:themeColor="text1"/>
        <w:sz w:val="18"/>
        <w:szCs w:val="18"/>
      </w:rPr>
      <w:t>2</w:t>
    </w:r>
    <w:r w:rsidRPr="00DC176C">
      <w:rPr>
        <w:bCs/>
        <w:color w:val="404040" w:themeColor="text1"/>
        <w:sz w:val="18"/>
        <w:szCs w:val="18"/>
      </w:rPr>
      <w:fldChar w:fldCharType="end"/>
    </w:r>
    <w:r>
      <w:rPr>
        <w:bCs/>
        <w:color w:val="404040" w:themeColor="text1"/>
        <w:sz w:val="18"/>
        <w:szCs w:val="18"/>
        <w:lang w:val="en-US"/>
      </w:rPr>
      <w:t xml:space="preserve"> | </w:t>
    </w:r>
    <w:r w:rsidRPr="00DC176C">
      <w:rPr>
        <w:color w:val="404040" w:themeColor="text1"/>
        <w:sz w:val="18"/>
        <w:szCs w:val="18"/>
        <w:highlight w:val="yellow"/>
        <w:lang w:val="en-US"/>
      </w:rPr>
      <w:t>&lt;Client&gt;</w:t>
    </w:r>
    <w:r w:rsidRPr="00DC176C">
      <w:rPr>
        <w:color w:val="404040" w:themeColor="text1"/>
        <w:sz w:val="18"/>
        <w:szCs w:val="18"/>
        <w:lang w:val="en-US"/>
      </w:rPr>
      <w:t xml:space="preserve"> | Report to the </w:t>
    </w:r>
    <w:r w:rsidRPr="00DC176C">
      <w:rPr>
        <w:color w:val="404040" w:themeColor="text1"/>
        <w:sz w:val="18"/>
        <w:szCs w:val="18"/>
        <w:highlight w:val="yellow"/>
        <w:lang w:val="en-US"/>
      </w:rPr>
      <w:t>&lt;Name of Reporting Body&gt;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65E1" w14:textId="77777777" w:rsidR="00851D7C" w:rsidRPr="007B2DDF" w:rsidRDefault="00664E6D" w:rsidP="00664E6D">
    <w:pPr>
      <w:pStyle w:val="Footer"/>
      <w:tabs>
        <w:tab w:val="clear" w:pos="9026"/>
        <w:tab w:val="right" w:pos="8505"/>
      </w:tabs>
    </w:pPr>
    <w:r>
      <w:rPr>
        <w:noProof/>
        <w:color w:val="auto"/>
        <w:lang w:val="en-NZ" w:eastAsia="en-NZ"/>
      </w:rPr>
      <w:drawing>
        <wp:anchor distT="0" distB="0" distL="114300" distR="114300" simplePos="0" relativeHeight="251666432" behindDoc="0" locked="0" layoutInCell="1" allowOverlap="1" wp14:anchorId="23EB81EA" wp14:editId="1CE3AF93">
          <wp:simplePos x="0" y="0"/>
          <wp:positionH relativeFrom="column">
            <wp:posOffset>654315</wp:posOffset>
          </wp:positionH>
          <wp:positionV relativeFrom="paragraph">
            <wp:posOffset>-794710</wp:posOffset>
          </wp:positionV>
          <wp:extent cx="161925" cy="2680335"/>
          <wp:effectExtent l="0" t="0" r="9525" b="5715"/>
          <wp:wrapNone/>
          <wp:docPr id="9" name="Picture 9" descr="V:\Audit\Marketing\Tenders\2017\1. Brand Elements\BDO_locator_CMYK_WHIT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Audit\Marketing\Tenders\2017\1. Brand Elements\BDO_locator_CMYK_WHITE_transparen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61925" cy="26803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974B" w14:textId="77777777" w:rsidR="007C4DAC" w:rsidRDefault="00CC4910" w:rsidP="007C4DAC">
    <w:pPr>
      <w:pStyle w:val="Footer"/>
      <w:tabs>
        <w:tab w:val="clear" w:pos="9026"/>
        <w:tab w:val="right" w:pos="8505"/>
      </w:tabs>
      <w:jc w:val="right"/>
      <w:rPr>
        <w:sz w:val="18"/>
        <w:szCs w:val="18"/>
      </w:rPr>
    </w:pPr>
    <w:r>
      <w:rPr>
        <w:color w:val="auto"/>
      </w:rPr>
      <w:pict w14:anchorId="37C2324E">
        <v:rect id="_x0000_i1028" style="width:425.25pt;height:1pt" o:hralign="center" o:hrstd="t" o:hr="t" fillcolor="#a0a0a0" stroked="f"/>
      </w:pict>
    </w:r>
  </w:p>
  <w:p w14:paraId="6AFEE7E4" w14:textId="77777777" w:rsidR="007C4DAC" w:rsidRDefault="007C4DAC" w:rsidP="007C4DAC">
    <w:pPr>
      <w:pStyle w:val="Footer"/>
      <w:jc w:val="right"/>
    </w:pPr>
    <w:r w:rsidRPr="00DC176C">
      <w:rPr>
        <w:color w:val="404040" w:themeColor="text1"/>
        <w:sz w:val="18"/>
        <w:szCs w:val="18"/>
      </w:rPr>
      <w:t xml:space="preserve">Page </w:t>
    </w:r>
    <w:r w:rsidRPr="00DC176C">
      <w:rPr>
        <w:bCs/>
        <w:color w:val="404040" w:themeColor="text1"/>
        <w:sz w:val="18"/>
        <w:szCs w:val="18"/>
      </w:rPr>
      <w:fldChar w:fldCharType="begin"/>
    </w:r>
    <w:r w:rsidRPr="00DC176C">
      <w:rPr>
        <w:bCs/>
        <w:color w:val="404040" w:themeColor="text1"/>
        <w:sz w:val="18"/>
        <w:szCs w:val="18"/>
      </w:rPr>
      <w:instrText xml:space="preserve"> PAGE </w:instrText>
    </w:r>
    <w:r w:rsidRPr="00DC176C">
      <w:rPr>
        <w:bCs/>
        <w:color w:val="404040" w:themeColor="text1"/>
        <w:sz w:val="18"/>
        <w:szCs w:val="18"/>
      </w:rPr>
      <w:fldChar w:fldCharType="separate"/>
    </w:r>
    <w:r w:rsidR="007B2DDF">
      <w:rPr>
        <w:bCs/>
        <w:noProof/>
        <w:color w:val="404040" w:themeColor="text1"/>
        <w:sz w:val="18"/>
        <w:szCs w:val="18"/>
      </w:rPr>
      <w:t>16</w:t>
    </w:r>
    <w:r w:rsidRPr="00DC176C">
      <w:rPr>
        <w:bCs/>
        <w:color w:val="404040" w:themeColor="text1"/>
        <w:sz w:val="18"/>
        <w:szCs w:val="18"/>
      </w:rPr>
      <w:fldChar w:fldCharType="end"/>
    </w:r>
    <w:r>
      <w:rPr>
        <w:bCs/>
        <w:color w:val="404040" w:themeColor="text1"/>
        <w:sz w:val="18"/>
        <w:szCs w:val="18"/>
        <w:lang w:val="en-US"/>
      </w:rPr>
      <w:t xml:space="preserve"> | </w:t>
    </w:r>
    <w:r w:rsidRPr="00DC176C">
      <w:rPr>
        <w:color w:val="404040" w:themeColor="text1"/>
        <w:sz w:val="18"/>
        <w:szCs w:val="18"/>
        <w:highlight w:val="yellow"/>
        <w:lang w:val="en-US"/>
      </w:rPr>
      <w:t>&lt;Client&gt;</w:t>
    </w:r>
    <w:r w:rsidRPr="00DC176C">
      <w:rPr>
        <w:color w:val="404040" w:themeColor="text1"/>
        <w:sz w:val="18"/>
        <w:szCs w:val="18"/>
        <w:lang w:val="en-US"/>
      </w:rPr>
      <w:t xml:space="preserve"> | </w:t>
    </w:r>
    <w:r w:rsidR="0059700E">
      <w:rPr>
        <w:color w:val="404040" w:themeColor="text1"/>
        <w:sz w:val="18"/>
        <w:szCs w:val="18"/>
        <w:lang w:val="en-US"/>
      </w:rPr>
      <w:t>Audit Completion Report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9D2C" w14:textId="77777777" w:rsidR="00027B6F" w:rsidRDefault="00CC4910" w:rsidP="007B2DDF">
    <w:pPr>
      <w:pStyle w:val="Footer"/>
      <w:tabs>
        <w:tab w:val="clear" w:pos="9026"/>
        <w:tab w:val="right" w:pos="8505"/>
      </w:tabs>
      <w:jc w:val="right"/>
      <w:rPr>
        <w:sz w:val="18"/>
        <w:szCs w:val="18"/>
      </w:rPr>
    </w:pPr>
    <w:r>
      <w:rPr>
        <w:color w:val="auto"/>
      </w:rPr>
      <w:pict w14:anchorId="3010A737">
        <v:rect id="_x0000_i1029" style="width:425.25pt;height:1pt" o:hralign="center" o:hrstd="t" o:hr="t" fillcolor="#a0a0a0" stroked="f"/>
      </w:pict>
    </w:r>
  </w:p>
  <w:p w14:paraId="69E64A31" w14:textId="77777777" w:rsidR="00027B6F" w:rsidRPr="007B2DDF" w:rsidRDefault="00027B6F" w:rsidP="007B2DDF">
    <w:pPr>
      <w:pStyle w:val="Footer"/>
      <w:jc w:val="right"/>
    </w:pPr>
    <w:r>
      <w:rPr>
        <w:color w:val="404040" w:themeColor="text1"/>
        <w:sz w:val="18"/>
        <w:szCs w:val="18"/>
        <w:lang w:val="en-US"/>
      </w:rPr>
      <w:t>Audit Completion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5080" w14:textId="77777777" w:rsidR="0077387D" w:rsidRDefault="00CC4910" w:rsidP="007B2DDF">
    <w:pPr>
      <w:pStyle w:val="Footer"/>
      <w:tabs>
        <w:tab w:val="clear" w:pos="9026"/>
        <w:tab w:val="right" w:pos="8505"/>
      </w:tabs>
      <w:jc w:val="right"/>
      <w:rPr>
        <w:sz w:val="18"/>
        <w:szCs w:val="18"/>
      </w:rPr>
    </w:pPr>
    <w:r>
      <w:rPr>
        <w:color w:val="auto"/>
      </w:rPr>
      <w:pict w14:anchorId="09EBAA66">
        <v:rect id="_x0000_i1030" style="width:425.25pt;height:1pt" o:hralign="center" o:hrstd="t" o:hr="t" fillcolor="#a0a0a0" stroked="f"/>
      </w:pict>
    </w:r>
  </w:p>
  <w:p w14:paraId="3B142620" w14:textId="165D2F39" w:rsidR="0077387D" w:rsidRPr="007B2DDF" w:rsidRDefault="0077387D" w:rsidP="007B2DDF">
    <w:pPr>
      <w:pStyle w:val="Footer"/>
      <w:jc w:val="right"/>
    </w:pPr>
    <w:r>
      <w:rPr>
        <w:color w:val="404040" w:themeColor="text1"/>
        <w:sz w:val="18"/>
        <w:szCs w:val="18"/>
        <w:lang w:val="en-US"/>
      </w:rPr>
      <w:t xml:space="preserve">Audit Completion Report | Page </w:t>
    </w:r>
    <w:r w:rsidRPr="00027B6F">
      <w:rPr>
        <w:color w:val="404040" w:themeColor="text1"/>
        <w:sz w:val="18"/>
        <w:szCs w:val="18"/>
        <w:lang w:val="en-US"/>
      </w:rPr>
      <w:fldChar w:fldCharType="begin"/>
    </w:r>
    <w:r w:rsidRPr="00027B6F">
      <w:rPr>
        <w:color w:val="404040" w:themeColor="text1"/>
        <w:sz w:val="18"/>
        <w:szCs w:val="18"/>
        <w:lang w:val="en-US"/>
      </w:rPr>
      <w:instrText xml:space="preserve"> PAGE   \* MERGEFORMAT </w:instrText>
    </w:r>
    <w:r w:rsidRPr="00027B6F">
      <w:rPr>
        <w:color w:val="404040" w:themeColor="text1"/>
        <w:sz w:val="18"/>
        <w:szCs w:val="18"/>
        <w:lang w:val="en-US"/>
      </w:rPr>
      <w:fldChar w:fldCharType="separate"/>
    </w:r>
    <w:r w:rsidR="009B1362">
      <w:rPr>
        <w:noProof/>
        <w:color w:val="404040" w:themeColor="text1"/>
        <w:sz w:val="18"/>
        <w:szCs w:val="18"/>
        <w:lang w:val="en-US"/>
      </w:rPr>
      <w:t>13</w:t>
    </w:r>
    <w:r w:rsidRPr="00027B6F">
      <w:rPr>
        <w:noProof/>
        <w:color w:val="404040" w:themeColor="text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706A" w14:textId="77777777" w:rsidR="009A238F" w:rsidRDefault="009A238F" w:rsidP="003169ED">
      <w:pPr>
        <w:spacing w:after="0" w:line="240" w:lineRule="auto"/>
      </w:pPr>
      <w:r>
        <w:separator/>
      </w:r>
    </w:p>
  </w:footnote>
  <w:footnote w:type="continuationSeparator" w:id="0">
    <w:p w14:paraId="3AF197E8" w14:textId="77777777" w:rsidR="009A238F" w:rsidRDefault="009A238F" w:rsidP="003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EAFD" w14:textId="77777777" w:rsidR="00714BBB" w:rsidRDefault="00714BBB">
    <w:pPr>
      <w:pStyle w:val="Header"/>
    </w:pPr>
    <w:r w:rsidRPr="00714BBB">
      <w:rPr>
        <w:noProof/>
        <w:lang w:eastAsia="en-NZ"/>
      </w:rPr>
      <w:drawing>
        <wp:anchor distT="0" distB="0" distL="114300" distR="114300" simplePos="0" relativeHeight="251650048" behindDoc="0" locked="0" layoutInCell="1" allowOverlap="1" wp14:anchorId="3324529C" wp14:editId="1381FAA0">
          <wp:simplePos x="0" y="0"/>
          <wp:positionH relativeFrom="column">
            <wp:posOffset>3810</wp:posOffset>
          </wp:positionH>
          <wp:positionV relativeFrom="page">
            <wp:posOffset>457200</wp:posOffset>
          </wp:positionV>
          <wp:extent cx="972000" cy="375042"/>
          <wp:effectExtent l="0" t="0" r="0" b="6350"/>
          <wp:wrapNone/>
          <wp:docPr id="27" name="Picture 27" descr="V:\Audit\Marketing\Tenders\2017\1. Brand Elements\BDO_logo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V:\Audit\Marketing\Tenders\2017\1. Brand Elements\BDO_logo_CMYK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375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3AD66" w14:textId="77777777" w:rsidR="00714BBB" w:rsidRDefault="00714BBB">
    <w:pPr>
      <w:pStyle w:val="Header"/>
    </w:pPr>
  </w:p>
  <w:p w14:paraId="3FCFF274" w14:textId="77777777" w:rsidR="00714BBB" w:rsidRDefault="00CC4910">
    <w:pPr>
      <w:pStyle w:val="Header"/>
    </w:pPr>
    <w:r>
      <w:pict w14:anchorId="7C787854">
        <v:rect id="_x0000_i1025" style="width:425.25pt;height:1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4674" w14:textId="77777777" w:rsidR="00C24822" w:rsidRDefault="00664E6D">
    <w:pPr>
      <w:pStyle w:val="Header"/>
    </w:pPr>
    <w:r>
      <w:rPr>
        <w:noProof/>
        <w:color w:val="404040" w:themeColor="text1"/>
        <w:sz w:val="18"/>
        <w:szCs w:val="18"/>
        <w:lang w:eastAsia="en-NZ"/>
      </w:rPr>
      <w:drawing>
        <wp:anchor distT="0" distB="0" distL="114300" distR="114300" simplePos="0" relativeHeight="251667456" behindDoc="0" locked="0" layoutInCell="1" allowOverlap="1" wp14:anchorId="34AD352A" wp14:editId="73DD4F77">
          <wp:simplePos x="0" y="0"/>
          <wp:positionH relativeFrom="column">
            <wp:posOffset>-733396</wp:posOffset>
          </wp:positionH>
          <wp:positionV relativeFrom="paragraph">
            <wp:posOffset>-28265</wp:posOffset>
          </wp:positionV>
          <wp:extent cx="971550" cy="373380"/>
          <wp:effectExtent l="0" t="0" r="0" b="7620"/>
          <wp:wrapNone/>
          <wp:docPr id="10" name="Picture 10" descr="V:\Audit\Marketing\Tenders\2017\1. Brand Elements\BDO_logo_WHIT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Audit\Marketing\Tenders\2017\1. Brand Elements\BDO_logo_WHITE_transparen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73380"/>
                  </a:xfrm>
                  <a:prstGeom prst="rect">
                    <a:avLst/>
                  </a:prstGeom>
                  <a:noFill/>
                  <a:ln>
                    <a:noFill/>
                  </a:ln>
                </pic:spPr>
              </pic:pic>
            </a:graphicData>
          </a:graphic>
        </wp:anchor>
      </w:drawing>
    </w:r>
    <w:r>
      <w:rPr>
        <w:noProof/>
        <w:lang w:eastAsia="en-NZ"/>
      </w:rPr>
      <w:drawing>
        <wp:anchor distT="0" distB="0" distL="114300" distR="114300" simplePos="0" relativeHeight="251668480" behindDoc="0" locked="0" layoutInCell="1" allowOverlap="1" wp14:anchorId="0C3E85D0" wp14:editId="55A04085">
          <wp:simplePos x="0" y="0"/>
          <wp:positionH relativeFrom="column">
            <wp:posOffset>654950</wp:posOffset>
          </wp:positionH>
          <wp:positionV relativeFrom="paragraph">
            <wp:posOffset>-1690060</wp:posOffset>
          </wp:positionV>
          <wp:extent cx="161925" cy="2679700"/>
          <wp:effectExtent l="0" t="0" r="9525" b="6350"/>
          <wp:wrapNone/>
          <wp:docPr id="28" name="Picture 28" descr="V:\Audit\Marketing\Tenders\2017\1. Brand Elements\BDO_locator_CMYK_WHIT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V:\Audit\Marketing\Tenders\2017\1. Brand Elements\BDO_locator_CMYK_WHITE_transparent.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2679700"/>
                  </a:xfrm>
                  <a:prstGeom prst="rect">
                    <a:avLst/>
                  </a:prstGeom>
                  <a:noFill/>
                  <a:ln>
                    <a:noFill/>
                  </a:ln>
                </pic:spPr>
              </pic:pic>
            </a:graphicData>
          </a:graphic>
        </wp:anchor>
      </w:drawing>
    </w:r>
    <w:r w:rsidRPr="00664E6D">
      <w:rPr>
        <w:noProof/>
        <w:lang w:eastAsia="en-NZ"/>
      </w:rPr>
      <w:drawing>
        <wp:anchor distT="0" distB="0" distL="114300" distR="114300" simplePos="0" relativeHeight="251669504" behindDoc="1" locked="0" layoutInCell="1" allowOverlap="1" wp14:anchorId="7FD824D9" wp14:editId="220AA6AC">
          <wp:simplePos x="0" y="0"/>
          <wp:positionH relativeFrom="column">
            <wp:posOffset>-1935850</wp:posOffset>
          </wp:positionH>
          <wp:positionV relativeFrom="page">
            <wp:posOffset>-291576</wp:posOffset>
          </wp:positionV>
          <wp:extent cx="11440381" cy="7851635"/>
          <wp:effectExtent l="0" t="0" r="8890" b="0"/>
          <wp:wrapNone/>
          <wp:docPr id="1" name="Picture 1" descr="I:\Images\GettyImages-17136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Images\GettyImages-17136442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11446303" cy="78556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A7AA" w14:textId="77777777" w:rsidR="00C54428" w:rsidRDefault="00C54428">
    <w:pPr>
      <w:pStyle w:val="Header"/>
    </w:pPr>
    <w:bookmarkStart w:id="2" w:name="Her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CE5D" w14:textId="77777777" w:rsidR="004F2058" w:rsidRDefault="004F2058" w:rsidP="004F2058">
    <w:pPr>
      <w:pStyle w:val="Header"/>
    </w:pPr>
    <w:r w:rsidRPr="00714BBB">
      <w:rPr>
        <w:noProof/>
        <w:lang w:eastAsia="en-NZ"/>
      </w:rPr>
      <w:drawing>
        <wp:anchor distT="0" distB="0" distL="114300" distR="114300" simplePos="0" relativeHeight="251660288" behindDoc="0" locked="0" layoutInCell="1" allowOverlap="1" wp14:anchorId="65D34B67" wp14:editId="7600A6AD">
          <wp:simplePos x="0" y="0"/>
          <wp:positionH relativeFrom="column">
            <wp:posOffset>3810</wp:posOffset>
          </wp:positionH>
          <wp:positionV relativeFrom="page">
            <wp:posOffset>457200</wp:posOffset>
          </wp:positionV>
          <wp:extent cx="972000" cy="375042"/>
          <wp:effectExtent l="0" t="0" r="0" b="6350"/>
          <wp:wrapNone/>
          <wp:docPr id="3" name="Picture 3" descr="V:\Audit\Marketing\Tenders\2017\1. Brand Elements\BDO_logo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V:\Audit\Marketing\Tenders\2017\1. Brand Elements\BDO_logo_CMYK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375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99EB9" w14:textId="77777777" w:rsidR="004F2058" w:rsidRDefault="004F2058" w:rsidP="004F2058">
    <w:pPr>
      <w:pStyle w:val="Header"/>
    </w:pPr>
  </w:p>
  <w:p w14:paraId="08BB105A" w14:textId="77777777" w:rsidR="004F2058" w:rsidRPr="004F2058" w:rsidRDefault="00CC4910" w:rsidP="004F2058">
    <w:pPr>
      <w:pStyle w:val="Header"/>
    </w:pPr>
    <w:r>
      <w:pict w14:anchorId="12072925">
        <v:rect id="_x0000_i1027" style="width:425.25pt;height:1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F1F"/>
    <w:multiLevelType w:val="hybridMultilevel"/>
    <w:tmpl w:val="030895CA"/>
    <w:lvl w:ilvl="0" w:tplc="0C090015">
      <w:start w:val="2"/>
      <w:numFmt w:val="decimal"/>
      <w:lvlText w:val="%1."/>
      <w:lvlJc w:val="left"/>
      <w:pPr>
        <w:tabs>
          <w:tab w:val="num" w:pos="720"/>
        </w:tabs>
        <w:ind w:left="720" w:hanging="360"/>
      </w:pPr>
      <w:rPr>
        <w:rFonts w:hint="default"/>
      </w:rPr>
    </w:lvl>
    <w:lvl w:ilvl="1" w:tplc="FBBCF2D6">
      <w:start w:val="1"/>
      <w:numFmt w:val="bullet"/>
      <w:pStyle w:val="b1"/>
      <w:lvlText w:val=""/>
      <w:lvlJc w:val="left"/>
      <w:pPr>
        <w:tabs>
          <w:tab w:val="num" w:pos="567"/>
        </w:tabs>
        <w:ind w:left="567" w:hanging="567"/>
      </w:pPr>
      <w:rPr>
        <w:rFonts w:ascii="Symbol" w:hAnsi="Symbol" w:hint="default"/>
        <w:color w:val="52557A"/>
        <w:sz w:val="18"/>
        <w:szCs w:val="24"/>
      </w:rPr>
    </w:lvl>
    <w:lvl w:ilvl="2" w:tplc="0C09001B">
      <w:start w:val="1"/>
      <w:numFmt w:val="lowerRoman"/>
      <w:lvlText w:val="%3."/>
      <w:lvlJc w:val="right"/>
      <w:pPr>
        <w:tabs>
          <w:tab w:val="num" w:pos="2160"/>
        </w:tabs>
        <w:ind w:left="2160" w:hanging="180"/>
      </w:pPr>
    </w:lvl>
    <w:lvl w:ilvl="3" w:tplc="2E32B64A"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6E48C0"/>
    <w:multiLevelType w:val="hybridMultilevel"/>
    <w:tmpl w:val="5FAA6850"/>
    <w:lvl w:ilvl="0" w:tplc="62A4AC2C">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463BF6"/>
    <w:multiLevelType w:val="hybridMultilevel"/>
    <w:tmpl w:val="1AE08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0E3A64"/>
    <w:multiLevelType w:val="multilevel"/>
    <w:tmpl w:val="E3EA315A"/>
    <w:lvl w:ilvl="0">
      <w:start w:val="1"/>
      <w:numFmt w:val="bullet"/>
      <w:lvlText w:val=""/>
      <w:lvlJc w:val="left"/>
      <w:pPr>
        <w:ind w:left="397" w:hanging="397"/>
      </w:pPr>
      <w:rPr>
        <w:rFonts w:ascii="Symbol" w:hAnsi="Symbol" w:hint="default"/>
        <w:b/>
        <w:i w:val="0"/>
        <w:color w:val="5E4F4A"/>
        <w:sz w:val="16"/>
        <w:szCs w:val="16"/>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4" w15:restartNumberingAfterBreak="0">
    <w:nsid w:val="33725AEF"/>
    <w:multiLevelType w:val="hybridMultilevel"/>
    <w:tmpl w:val="916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0391"/>
    <w:multiLevelType w:val="hybridMultilevel"/>
    <w:tmpl w:val="1C625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EE1D55"/>
    <w:multiLevelType w:val="hybridMultilevel"/>
    <w:tmpl w:val="B7A4A69C"/>
    <w:lvl w:ilvl="0" w:tplc="396A0F6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B0BBC"/>
    <w:multiLevelType w:val="hybridMultilevel"/>
    <w:tmpl w:val="597C72F8"/>
    <w:lvl w:ilvl="0" w:tplc="31A873F4">
      <w:start w:val="1"/>
      <w:numFmt w:val="bullet"/>
      <w:pStyle w:val="BulletListBDO"/>
      <w:lvlText w:val=""/>
      <w:lvlJc w:val="left"/>
      <w:pPr>
        <w:ind w:left="420" w:hanging="360"/>
      </w:pPr>
      <w:rPr>
        <w:rFonts w:ascii="Symbol" w:hAnsi="Symbol" w:hint="default"/>
      </w:rPr>
    </w:lvl>
    <w:lvl w:ilvl="1" w:tplc="14090001">
      <w:start w:val="1"/>
      <w:numFmt w:val="bullet"/>
      <w:lvlText w:val=""/>
      <w:lvlJc w:val="left"/>
      <w:pPr>
        <w:ind w:left="1140" w:hanging="360"/>
      </w:pPr>
      <w:rPr>
        <w:rFonts w:ascii="Symbol" w:hAnsi="Symbol"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8" w15:restartNumberingAfterBreak="0">
    <w:nsid w:val="742A4633"/>
    <w:multiLevelType w:val="hybridMultilevel"/>
    <w:tmpl w:val="89B45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NDM2szAyMDYwNbNQ0lEKTi0uzszPAykwtKwFAKqbrgYtAAAA"/>
  </w:docVars>
  <w:rsids>
    <w:rsidRoot w:val="005924D4"/>
    <w:rsid w:val="00014807"/>
    <w:rsid w:val="00015E78"/>
    <w:rsid w:val="00016BBC"/>
    <w:rsid w:val="000173C8"/>
    <w:rsid w:val="00017C96"/>
    <w:rsid w:val="00021826"/>
    <w:rsid w:val="00022F4C"/>
    <w:rsid w:val="00027B6F"/>
    <w:rsid w:val="00035ABD"/>
    <w:rsid w:val="000377BD"/>
    <w:rsid w:val="00040948"/>
    <w:rsid w:val="00040A57"/>
    <w:rsid w:val="00041E0A"/>
    <w:rsid w:val="00044805"/>
    <w:rsid w:val="00044F56"/>
    <w:rsid w:val="00045095"/>
    <w:rsid w:val="00046BBC"/>
    <w:rsid w:val="00050D89"/>
    <w:rsid w:val="00054CA1"/>
    <w:rsid w:val="0006065E"/>
    <w:rsid w:val="00060F89"/>
    <w:rsid w:val="000624F2"/>
    <w:rsid w:val="00075E91"/>
    <w:rsid w:val="00076CA1"/>
    <w:rsid w:val="00082AF8"/>
    <w:rsid w:val="00085AE5"/>
    <w:rsid w:val="00086098"/>
    <w:rsid w:val="00086D35"/>
    <w:rsid w:val="000872AE"/>
    <w:rsid w:val="00091FA3"/>
    <w:rsid w:val="000949C8"/>
    <w:rsid w:val="00095220"/>
    <w:rsid w:val="0009699F"/>
    <w:rsid w:val="000A6DCA"/>
    <w:rsid w:val="000B0019"/>
    <w:rsid w:val="000B47E1"/>
    <w:rsid w:val="000B625C"/>
    <w:rsid w:val="000B671C"/>
    <w:rsid w:val="000C1B34"/>
    <w:rsid w:val="000C3CFA"/>
    <w:rsid w:val="000C4022"/>
    <w:rsid w:val="000C4B97"/>
    <w:rsid w:val="000D2D77"/>
    <w:rsid w:val="000E1B80"/>
    <w:rsid w:val="000E3DEB"/>
    <w:rsid w:val="000F0CDB"/>
    <w:rsid w:val="000F44C1"/>
    <w:rsid w:val="00107D46"/>
    <w:rsid w:val="00110489"/>
    <w:rsid w:val="00114465"/>
    <w:rsid w:val="00115089"/>
    <w:rsid w:val="001151B5"/>
    <w:rsid w:val="001164A3"/>
    <w:rsid w:val="00123992"/>
    <w:rsid w:val="001258FF"/>
    <w:rsid w:val="00133E27"/>
    <w:rsid w:val="00135EEE"/>
    <w:rsid w:val="00137F8A"/>
    <w:rsid w:val="00141947"/>
    <w:rsid w:val="0014287A"/>
    <w:rsid w:val="001516BE"/>
    <w:rsid w:val="00153D09"/>
    <w:rsid w:val="00155190"/>
    <w:rsid w:val="00160C03"/>
    <w:rsid w:val="00162C8F"/>
    <w:rsid w:val="00162FF1"/>
    <w:rsid w:val="0016386D"/>
    <w:rsid w:val="00166383"/>
    <w:rsid w:val="00170111"/>
    <w:rsid w:val="001805A6"/>
    <w:rsid w:val="00183607"/>
    <w:rsid w:val="00184615"/>
    <w:rsid w:val="00193045"/>
    <w:rsid w:val="00195AC7"/>
    <w:rsid w:val="00197A68"/>
    <w:rsid w:val="00197E2D"/>
    <w:rsid w:val="001A2D7F"/>
    <w:rsid w:val="001A576A"/>
    <w:rsid w:val="001B3DC0"/>
    <w:rsid w:val="001B4F89"/>
    <w:rsid w:val="001C1164"/>
    <w:rsid w:val="001C4FDD"/>
    <w:rsid w:val="001C5A24"/>
    <w:rsid w:val="001D5D05"/>
    <w:rsid w:val="001D6615"/>
    <w:rsid w:val="001D6F23"/>
    <w:rsid w:val="001E15F0"/>
    <w:rsid w:val="001E169A"/>
    <w:rsid w:val="001E185C"/>
    <w:rsid w:val="001E213E"/>
    <w:rsid w:val="001E22F5"/>
    <w:rsid w:val="001E24E6"/>
    <w:rsid w:val="001E28BC"/>
    <w:rsid w:val="001E42A2"/>
    <w:rsid w:val="001E5602"/>
    <w:rsid w:val="001E5983"/>
    <w:rsid w:val="001F1417"/>
    <w:rsid w:val="001F1CE0"/>
    <w:rsid w:val="001F4AAC"/>
    <w:rsid w:val="00200BBF"/>
    <w:rsid w:val="002041F1"/>
    <w:rsid w:val="00207845"/>
    <w:rsid w:val="00211A20"/>
    <w:rsid w:val="00212028"/>
    <w:rsid w:val="00212D9C"/>
    <w:rsid w:val="0021341B"/>
    <w:rsid w:val="002165EC"/>
    <w:rsid w:val="00217880"/>
    <w:rsid w:val="00217E05"/>
    <w:rsid w:val="0022141B"/>
    <w:rsid w:val="002257C2"/>
    <w:rsid w:val="0023042B"/>
    <w:rsid w:val="00233B8C"/>
    <w:rsid w:val="00234860"/>
    <w:rsid w:val="00243059"/>
    <w:rsid w:val="00243E04"/>
    <w:rsid w:val="002535B9"/>
    <w:rsid w:val="00253B07"/>
    <w:rsid w:val="00273829"/>
    <w:rsid w:val="00277909"/>
    <w:rsid w:val="00280AD8"/>
    <w:rsid w:val="002937A4"/>
    <w:rsid w:val="002949E6"/>
    <w:rsid w:val="00295548"/>
    <w:rsid w:val="002A26C5"/>
    <w:rsid w:val="002A5A9F"/>
    <w:rsid w:val="002A7454"/>
    <w:rsid w:val="002B0DBB"/>
    <w:rsid w:val="002B0DBD"/>
    <w:rsid w:val="002B2628"/>
    <w:rsid w:val="002C1BAE"/>
    <w:rsid w:val="002C6CDB"/>
    <w:rsid w:val="002C6DA0"/>
    <w:rsid w:val="002D0359"/>
    <w:rsid w:val="002D0BF7"/>
    <w:rsid w:val="002D2B80"/>
    <w:rsid w:val="002D772E"/>
    <w:rsid w:val="002E3586"/>
    <w:rsid w:val="002F1779"/>
    <w:rsid w:val="002F2803"/>
    <w:rsid w:val="002F2D19"/>
    <w:rsid w:val="002F4067"/>
    <w:rsid w:val="002F5463"/>
    <w:rsid w:val="002F5919"/>
    <w:rsid w:val="002F69F5"/>
    <w:rsid w:val="002F72BA"/>
    <w:rsid w:val="00301980"/>
    <w:rsid w:val="00304B2E"/>
    <w:rsid w:val="00307A0C"/>
    <w:rsid w:val="00311DE9"/>
    <w:rsid w:val="0031296F"/>
    <w:rsid w:val="003150ED"/>
    <w:rsid w:val="003169ED"/>
    <w:rsid w:val="00317463"/>
    <w:rsid w:val="00326CE3"/>
    <w:rsid w:val="003361A3"/>
    <w:rsid w:val="003373A1"/>
    <w:rsid w:val="00337514"/>
    <w:rsid w:val="00337789"/>
    <w:rsid w:val="003412F1"/>
    <w:rsid w:val="0034385E"/>
    <w:rsid w:val="00352FE0"/>
    <w:rsid w:val="0036106A"/>
    <w:rsid w:val="0036161A"/>
    <w:rsid w:val="00364ED5"/>
    <w:rsid w:val="00365D4F"/>
    <w:rsid w:val="003705D0"/>
    <w:rsid w:val="0037200D"/>
    <w:rsid w:val="003740E3"/>
    <w:rsid w:val="003808AE"/>
    <w:rsid w:val="003841D7"/>
    <w:rsid w:val="003862D2"/>
    <w:rsid w:val="00386561"/>
    <w:rsid w:val="0039080C"/>
    <w:rsid w:val="00392933"/>
    <w:rsid w:val="00392DAD"/>
    <w:rsid w:val="00395ACC"/>
    <w:rsid w:val="00397FDB"/>
    <w:rsid w:val="003A5A39"/>
    <w:rsid w:val="003B446C"/>
    <w:rsid w:val="003B64C8"/>
    <w:rsid w:val="003D4A9E"/>
    <w:rsid w:val="003D5FAE"/>
    <w:rsid w:val="003E21C6"/>
    <w:rsid w:val="003F03A0"/>
    <w:rsid w:val="003F68DB"/>
    <w:rsid w:val="003F7898"/>
    <w:rsid w:val="00402A0C"/>
    <w:rsid w:val="00402DBA"/>
    <w:rsid w:val="00402ECF"/>
    <w:rsid w:val="00413BD9"/>
    <w:rsid w:val="00420721"/>
    <w:rsid w:val="00420C01"/>
    <w:rsid w:val="00420FB0"/>
    <w:rsid w:val="00421F34"/>
    <w:rsid w:val="004233C0"/>
    <w:rsid w:val="004300D9"/>
    <w:rsid w:val="0043015B"/>
    <w:rsid w:val="00431AAE"/>
    <w:rsid w:val="004345F4"/>
    <w:rsid w:val="004354CE"/>
    <w:rsid w:val="00437D56"/>
    <w:rsid w:val="00447DD0"/>
    <w:rsid w:val="00450018"/>
    <w:rsid w:val="00453764"/>
    <w:rsid w:val="00455FA0"/>
    <w:rsid w:val="00456E63"/>
    <w:rsid w:val="004574B9"/>
    <w:rsid w:val="00460546"/>
    <w:rsid w:val="004619AC"/>
    <w:rsid w:val="00462C61"/>
    <w:rsid w:val="0046700E"/>
    <w:rsid w:val="00471568"/>
    <w:rsid w:val="00473761"/>
    <w:rsid w:val="004746A4"/>
    <w:rsid w:val="00477358"/>
    <w:rsid w:val="00477985"/>
    <w:rsid w:val="00480C86"/>
    <w:rsid w:val="00481994"/>
    <w:rsid w:val="0048303D"/>
    <w:rsid w:val="00485470"/>
    <w:rsid w:val="004859AC"/>
    <w:rsid w:val="00485C03"/>
    <w:rsid w:val="00487463"/>
    <w:rsid w:val="00491944"/>
    <w:rsid w:val="00493AB4"/>
    <w:rsid w:val="004A0B04"/>
    <w:rsid w:val="004A0CF7"/>
    <w:rsid w:val="004B30FD"/>
    <w:rsid w:val="004B5952"/>
    <w:rsid w:val="004C5772"/>
    <w:rsid w:val="004D10CF"/>
    <w:rsid w:val="004D4543"/>
    <w:rsid w:val="004E401F"/>
    <w:rsid w:val="004E4433"/>
    <w:rsid w:val="004E552C"/>
    <w:rsid w:val="004F2058"/>
    <w:rsid w:val="004F2686"/>
    <w:rsid w:val="00501BD1"/>
    <w:rsid w:val="00505A58"/>
    <w:rsid w:val="00515E7B"/>
    <w:rsid w:val="00516137"/>
    <w:rsid w:val="0053303A"/>
    <w:rsid w:val="00533DA8"/>
    <w:rsid w:val="00537AC1"/>
    <w:rsid w:val="00542CF2"/>
    <w:rsid w:val="005454AA"/>
    <w:rsid w:val="005559FD"/>
    <w:rsid w:val="00563B55"/>
    <w:rsid w:val="00566393"/>
    <w:rsid w:val="005717FE"/>
    <w:rsid w:val="00577EF8"/>
    <w:rsid w:val="00580E64"/>
    <w:rsid w:val="005822DC"/>
    <w:rsid w:val="005924D4"/>
    <w:rsid w:val="005950C7"/>
    <w:rsid w:val="00595ED8"/>
    <w:rsid w:val="00596BDF"/>
    <w:rsid w:val="0059700E"/>
    <w:rsid w:val="005A4185"/>
    <w:rsid w:val="005A48B9"/>
    <w:rsid w:val="005A6FF1"/>
    <w:rsid w:val="005A7C4C"/>
    <w:rsid w:val="005B56E7"/>
    <w:rsid w:val="005C0069"/>
    <w:rsid w:val="005C3AD8"/>
    <w:rsid w:val="005C3EB6"/>
    <w:rsid w:val="005D2560"/>
    <w:rsid w:val="005D31A6"/>
    <w:rsid w:val="005E00C7"/>
    <w:rsid w:val="005E1D0A"/>
    <w:rsid w:val="005E74A1"/>
    <w:rsid w:val="005F038C"/>
    <w:rsid w:val="005F0AD0"/>
    <w:rsid w:val="00600B89"/>
    <w:rsid w:val="006043B4"/>
    <w:rsid w:val="00604E0B"/>
    <w:rsid w:val="006103E0"/>
    <w:rsid w:val="0061078A"/>
    <w:rsid w:val="00611960"/>
    <w:rsid w:val="00611D06"/>
    <w:rsid w:val="00611FB2"/>
    <w:rsid w:val="00612977"/>
    <w:rsid w:val="0061461E"/>
    <w:rsid w:val="00615B36"/>
    <w:rsid w:val="006160AD"/>
    <w:rsid w:val="00616B02"/>
    <w:rsid w:val="00616F7F"/>
    <w:rsid w:val="00621E42"/>
    <w:rsid w:val="00622A72"/>
    <w:rsid w:val="006326F2"/>
    <w:rsid w:val="00634333"/>
    <w:rsid w:val="00637AE4"/>
    <w:rsid w:val="00640861"/>
    <w:rsid w:val="00640BFA"/>
    <w:rsid w:val="0064124C"/>
    <w:rsid w:val="00651476"/>
    <w:rsid w:val="00652063"/>
    <w:rsid w:val="00652D8B"/>
    <w:rsid w:val="00660704"/>
    <w:rsid w:val="006640C3"/>
    <w:rsid w:val="006644DC"/>
    <w:rsid w:val="00664E6D"/>
    <w:rsid w:val="006672A2"/>
    <w:rsid w:val="00674E53"/>
    <w:rsid w:val="0067548A"/>
    <w:rsid w:val="00680CE7"/>
    <w:rsid w:val="00680FDE"/>
    <w:rsid w:val="006813E2"/>
    <w:rsid w:val="00682258"/>
    <w:rsid w:val="006858D0"/>
    <w:rsid w:val="00686333"/>
    <w:rsid w:val="006A6F86"/>
    <w:rsid w:val="006B19CE"/>
    <w:rsid w:val="006C33A0"/>
    <w:rsid w:val="006C3418"/>
    <w:rsid w:val="006C7374"/>
    <w:rsid w:val="006C77F5"/>
    <w:rsid w:val="006D371A"/>
    <w:rsid w:val="006D5822"/>
    <w:rsid w:val="006D5ECB"/>
    <w:rsid w:val="006E0632"/>
    <w:rsid w:val="006E070E"/>
    <w:rsid w:val="006E12D8"/>
    <w:rsid w:val="006E4276"/>
    <w:rsid w:val="006E78C7"/>
    <w:rsid w:val="006F3FCE"/>
    <w:rsid w:val="006F5CC6"/>
    <w:rsid w:val="006F7A76"/>
    <w:rsid w:val="007013BB"/>
    <w:rsid w:val="0070335A"/>
    <w:rsid w:val="00703EC9"/>
    <w:rsid w:val="00714BBB"/>
    <w:rsid w:val="00715956"/>
    <w:rsid w:val="00720A01"/>
    <w:rsid w:val="00726175"/>
    <w:rsid w:val="00730D24"/>
    <w:rsid w:val="007358B7"/>
    <w:rsid w:val="0074378F"/>
    <w:rsid w:val="007463DB"/>
    <w:rsid w:val="00753229"/>
    <w:rsid w:val="00755AD5"/>
    <w:rsid w:val="00765B7B"/>
    <w:rsid w:val="00766249"/>
    <w:rsid w:val="007667D7"/>
    <w:rsid w:val="00767713"/>
    <w:rsid w:val="007722ED"/>
    <w:rsid w:val="00773616"/>
    <w:rsid w:val="0077387D"/>
    <w:rsid w:val="00780D5C"/>
    <w:rsid w:val="0078149B"/>
    <w:rsid w:val="00781C64"/>
    <w:rsid w:val="00783247"/>
    <w:rsid w:val="00784ECE"/>
    <w:rsid w:val="00785663"/>
    <w:rsid w:val="00786AB8"/>
    <w:rsid w:val="0078789A"/>
    <w:rsid w:val="00796CE3"/>
    <w:rsid w:val="007A2324"/>
    <w:rsid w:val="007A47EE"/>
    <w:rsid w:val="007B0EE4"/>
    <w:rsid w:val="007B2177"/>
    <w:rsid w:val="007B2DDF"/>
    <w:rsid w:val="007B782C"/>
    <w:rsid w:val="007C309D"/>
    <w:rsid w:val="007C4083"/>
    <w:rsid w:val="007C4DAC"/>
    <w:rsid w:val="007C7347"/>
    <w:rsid w:val="007D2E39"/>
    <w:rsid w:val="007D4369"/>
    <w:rsid w:val="007D5054"/>
    <w:rsid w:val="007D58EF"/>
    <w:rsid w:val="007D60A3"/>
    <w:rsid w:val="007E00BD"/>
    <w:rsid w:val="007E23A5"/>
    <w:rsid w:val="007F287A"/>
    <w:rsid w:val="007F2DF0"/>
    <w:rsid w:val="00801235"/>
    <w:rsid w:val="008048E9"/>
    <w:rsid w:val="00805BEA"/>
    <w:rsid w:val="00805C2D"/>
    <w:rsid w:val="0080793D"/>
    <w:rsid w:val="008159BF"/>
    <w:rsid w:val="0081644C"/>
    <w:rsid w:val="008179C6"/>
    <w:rsid w:val="0082229D"/>
    <w:rsid w:val="00823D1D"/>
    <w:rsid w:val="008321B7"/>
    <w:rsid w:val="00832359"/>
    <w:rsid w:val="00844336"/>
    <w:rsid w:val="00851D7C"/>
    <w:rsid w:val="00853156"/>
    <w:rsid w:val="008663CF"/>
    <w:rsid w:val="008671CC"/>
    <w:rsid w:val="0086787E"/>
    <w:rsid w:val="00871205"/>
    <w:rsid w:val="0087307A"/>
    <w:rsid w:val="00873081"/>
    <w:rsid w:val="008733F8"/>
    <w:rsid w:val="00875284"/>
    <w:rsid w:val="00876B54"/>
    <w:rsid w:val="008772B8"/>
    <w:rsid w:val="00880931"/>
    <w:rsid w:val="00887BEB"/>
    <w:rsid w:val="00887E8B"/>
    <w:rsid w:val="00890CB6"/>
    <w:rsid w:val="00897238"/>
    <w:rsid w:val="00897AE1"/>
    <w:rsid w:val="008A58BD"/>
    <w:rsid w:val="008A5F81"/>
    <w:rsid w:val="008A78C9"/>
    <w:rsid w:val="008B0CA9"/>
    <w:rsid w:val="008B1503"/>
    <w:rsid w:val="008B47DA"/>
    <w:rsid w:val="008B599B"/>
    <w:rsid w:val="008C1A12"/>
    <w:rsid w:val="008C32C8"/>
    <w:rsid w:val="008C4036"/>
    <w:rsid w:val="008D7039"/>
    <w:rsid w:val="008D7545"/>
    <w:rsid w:val="008D7628"/>
    <w:rsid w:val="008E3DB2"/>
    <w:rsid w:val="008E4D79"/>
    <w:rsid w:val="008E5C78"/>
    <w:rsid w:val="008E7220"/>
    <w:rsid w:val="008F16CF"/>
    <w:rsid w:val="008F2644"/>
    <w:rsid w:val="008F2F5B"/>
    <w:rsid w:val="008F4F91"/>
    <w:rsid w:val="008F5400"/>
    <w:rsid w:val="008F6978"/>
    <w:rsid w:val="008F6DC0"/>
    <w:rsid w:val="008F6EFA"/>
    <w:rsid w:val="008F7DD4"/>
    <w:rsid w:val="00901C5B"/>
    <w:rsid w:val="00902942"/>
    <w:rsid w:val="00917730"/>
    <w:rsid w:val="00923FCB"/>
    <w:rsid w:val="0092524D"/>
    <w:rsid w:val="009278EC"/>
    <w:rsid w:val="00932B21"/>
    <w:rsid w:val="009334EA"/>
    <w:rsid w:val="00937845"/>
    <w:rsid w:val="00941EBD"/>
    <w:rsid w:val="00942CB0"/>
    <w:rsid w:val="00943294"/>
    <w:rsid w:val="00944522"/>
    <w:rsid w:val="009469B4"/>
    <w:rsid w:val="00946DB5"/>
    <w:rsid w:val="0094798B"/>
    <w:rsid w:val="0095377E"/>
    <w:rsid w:val="009558FB"/>
    <w:rsid w:val="009572FA"/>
    <w:rsid w:val="00962A3F"/>
    <w:rsid w:val="00964820"/>
    <w:rsid w:val="009708D2"/>
    <w:rsid w:val="00974ADD"/>
    <w:rsid w:val="009762FB"/>
    <w:rsid w:val="0098036B"/>
    <w:rsid w:val="009804FF"/>
    <w:rsid w:val="00980F34"/>
    <w:rsid w:val="009864D8"/>
    <w:rsid w:val="009958A4"/>
    <w:rsid w:val="009A238F"/>
    <w:rsid w:val="009A345F"/>
    <w:rsid w:val="009A3A54"/>
    <w:rsid w:val="009A41B8"/>
    <w:rsid w:val="009A4510"/>
    <w:rsid w:val="009A4519"/>
    <w:rsid w:val="009A67CC"/>
    <w:rsid w:val="009B1362"/>
    <w:rsid w:val="009B29F0"/>
    <w:rsid w:val="009B2AA2"/>
    <w:rsid w:val="009B4CE0"/>
    <w:rsid w:val="009C221C"/>
    <w:rsid w:val="009C3D02"/>
    <w:rsid w:val="009C4C20"/>
    <w:rsid w:val="009D4F8C"/>
    <w:rsid w:val="009D560F"/>
    <w:rsid w:val="009E157B"/>
    <w:rsid w:val="009E4B4F"/>
    <w:rsid w:val="009E5960"/>
    <w:rsid w:val="009F1B2A"/>
    <w:rsid w:val="009F1E41"/>
    <w:rsid w:val="009F225E"/>
    <w:rsid w:val="00A05019"/>
    <w:rsid w:val="00A075FF"/>
    <w:rsid w:val="00A15664"/>
    <w:rsid w:val="00A15687"/>
    <w:rsid w:val="00A21870"/>
    <w:rsid w:val="00A21964"/>
    <w:rsid w:val="00A25AA8"/>
    <w:rsid w:val="00A25AF4"/>
    <w:rsid w:val="00A32181"/>
    <w:rsid w:val="00A32697"/>
    <w:rsid w:val="00A35A3D"/>
    <w:rsid w:val="00A36245"/>
    <w:rsid w:val="00A414A9"/>
    <w:rsid w:val="00A4751D"/>
    <w:rsid w:val="00A50850"/>
    <w:rsid w:val="00A564BC"/>
    <w:rsid w:val="00A62BDF"/>
    <w:rsid w:val="00A70DD5"/>
    <w:rsid w:val="00A82C47"/>
    <w:rsid w:val="00A846DE"/>
    <w:rsid w:val="00A8620C"/>
    <w:rsid w:val="00A91A14"/>
    <w:rsid w:val="00AA30FE"/>
    <w:rsid w:val="00AB1C45"/>
    <w:rsid w:val="00AB3688"/>
    <w:rsid w:val="00AB49EF"/>
    <w:rsid w:val="00AC49E2"/>
    <w:rsid w:val="00AD32C8"/>
    <w:rsid w:val="00AD548F"/>
    <w:rsid w:val="00AD5927"/>
    <w:rsid w:val="00AE7752"/>
    <w:rsid w:val="00AF1960"/>
    <w:rsid w:val="00AF3A0B"/>
    <w:rsid w:val="00AF48F0"/>
    <w:rsid w:val="00B02597"/>
    <w:rsid w:val="00B150DF"/>
    <w:rsid w:val="00B1669A"/>
    <w:rsid w:val="00B21940"/>
    <w:rsid w:val="00B22AF5"/>
    <w:rsid w:val="00B22E9A"/>
    <w:rsid w:val="00B24312"/>
    <w:rsid w:val="00B276EA"/>
    <w:rsid w:val="00B3513C"/>
    <w:rsid w:val="00B36C20"/>
    <w:rsid w:val="00B42107"/>
    <w:rsid w:val="00B47C7E"/>
    <w:rsid w:val="00B5136F"/>
    <w:rsid w:val="00B61BC5"/>
    <w:rsid w:val="00B66DD2"/>
    <w:rsid w:val="00B70E15"/>
    <w:rsid w:val="00B81536"/>
    <w:rsid w:val="00B84E3E"/>
    <w:rsid w:val="00B903A2"/>
    <w:rsid w:val="00B93663"/>
    <w:rsid w:val="00BA1878"/>
    <w:rsid w:val="00BB33B2"/>
    <w:rsid w:val="00BB3EFB"/>
    <w:rsid w:val="00BB4A71"/>
    <w:rsid w:val="00BB5F52"/>
    <w:rsid w:val="00BB7B27"/>
    <w:rsid w:val="00BC00B6"/>
    <w:rsid w:val="00BC26C1"/>
    <w:rsid w:val="00BC3882"/>
    <w:rsid w:val="00BC4F56"/>
    <w:rsid w:val="00BD2911"/>
    <w:rsid w:val="00BD31D6"/>
    <w:rsid w:val="00BE053E"/>
    <w:rsid w:val="00BE204D"/>
    <w:rsid w:val="00BE3A85"/>
    <w:rsid w:val="00BE7709"/>
    <w:rsid w:val="00C04FA6"/>
    <w:rsid w:val="00C07646"/>
    <w:rsid w:val="00C07B15"/>
    <w:rsid w:val="00C136F1"/>
    <w:rsid w:val="00C13974"/>
    <w:rsid w:val="00C14B61"/>
    <w:rsid w:val="00C16D92"/>
    <w:rsid w:val="00C223D1"/>
    <w:rsid w:val="00C22463"/>
    <w:rsid w:val="00C24822"/>
    <w:rsid w:val="00C35AED"/>
    <w:rsid w:val="00C36600"/>
    <w:rsid w:val="00C50ACE"/>
    <w:rsid w:val="00C53304"/>
    <w:rsid w:val="00C54428"/>
    <w:rsid w:val="00C65BD7"/>
    <w:rsid w:val="00C71E36"/>
    <w:rsid w:val="00C7331F"/>
    <w:rsid w:val="00C77925"/>
    <w:rsid w:val="00C77A76"/>
    <w:rsid w:val="00C83820"/>
    <w:rsid w:val="00C838DD"/>
    <w:rsid w:val="00C845AC"/>
    <w:rsid w:val="00C85E3B"/>
    <w:rsid w:val="00C86A13"/>
    <w:rsid w:val="00C90673"/>
    <w:rsid w:val="00C9224E"/>
    <w:rsid w:val="00C93DE1"/>
    <w:rsid w:val="00C976A1"/>
    <w:rsid w:val="00CA0078"/>
    <w:rsid w:val="00CA2017"/>
    <w:rsid w:val="00CA3982"/>
    <w:rsid w:val="00CA5B45"/>
    <w:rsid w:val="00CB6572"/>
    <w:rsid w:val="00CB734A"/>
    <w:rsid w:val="00CC14AD"/>
    <w:rsid w:val="00CC4910"/>
    <w:rsid w:val="00CC4A9F"/>
    <w:rsid w:val="00CC69B1"/>
    <w:rsid w:val="00CD4009"/>
    <w:rsid w:val="00CD5421"/>
    <w:rsid w:val="00CD6DD9"/>
    <w:rsid w:val="00CE0B8D"/>
    <w:rsid w:val="00CF1DD9"/>
    <w:rsid w:val="00CF65E7"/>
    <w:rsid w:val="00CF6861"/>
    <w:rsid w:val="00D01724"/>
    <w:rsid w:val="00D05D55"/>
    <w:rsid w:val="00D07446"/>
    <w:rsid w:val="00D104E1"/>
    <w:rsid w:val="00D10607"/>
    <w:rsid w:val="00D10F67"/>
    <w:rsid w:val="00D11EF1"/>
    <w:rsid w:val="00D12290"/>
    <w:rsid w:val="00D15CAF"/>
    <w:rsid w:val="00D22421"/>
    <w:rsid w:val="00D344A6"/>
    <w:rsid w:val="00D3520A"/>
    <w:rsid w:val="00D35653"/>
    <w:rsid w:val="00D449B4"/>
    <w:rsid w:val="00D50894"/>
    <w:rsid w:val="00D52BFF"/>
    <w:rsid w:val="00D60359"/>
    <w:rsid w:val="00D6148E"/>
    <w:rsid w:val="00D61DC1"/>
    <w:rsid w:val="00D635DE"/>
    <w:rsid w:val="00D63679"/>
    <w:rsid w:val="00D74FA6"/>
    <w:rsid w:val="00D75C07"/>
    <w:rsid w:val="00D801D4"/>
    <w:rsid w:val="00D83E48"/>
    <w:rsid w:val="00D854CD"/>
    <w:rsid w:val="00D86197"/>
    <w:rsid w:val="00D86BF4"/>
    <w:rsid w:val="00D915DA"/>
    <w:rsid w:val="00D97AAA"/>
    <w:rsid w:val="00DA17C8"/>
    <w:rsid w:val="00DA1A08"/>
    <w:rsid w:val="00DA2FFE"/>
    <w:rsid w:val="00DA3734"/>
    <w:rsid w:val="00DA551A"/>
    <w:rsid w:val="00DB3831"/>
    <w:rsid w:val="00DB59D6"/>
    <w:rsid w:val="00DB6A74"/>
    <w:rsid w:val="00DC176C"/>
    <w:rsid w:val="00DC25B5"/>
    <w:rsid w:val="00DC3E26"/>
    <w:rsid w:val="00DC7388"/>
    <w:rsid w:val="00DD1E83"/>
    <w:rsid w:val="00DD4196"/>
    <w:rsid w:val="00DD5A0A"/>
    <w:rsid w:val="00DD5DEA"/>
    <w:rsid w:val="00DE6AF3"/>
    <w:rsid w:val="00DE6E70"/>
    <w:rsid w:val="00DF22DD"/>
    <w:rsid w:val="00DF65BA"/>
    <w:rsid w:val="00DF74FC"/>
    <w:rsid w:val="00E01064"/>
    <w:rsid w:val="00E1482D"/>
    <w:rsid w:val="00E15376"/>
    <w:rsid w:val="00E2017F"/>
    <w:rsid w:val="00E24A3B"/>
    <w:rsid w:val="00E2606D"/>
    <w:rsid w:val="00E27893"/>
    <w:rsid w:val="00E443DA"/>
    <w:rsid w:val="00E46EB1"/>
    <w:rsid w:val="00E47C82"/>
    <w:rsid w:val="00E532D5"/>
    <w:rsid w:val="00E54BAF"/>
    <w:rsid w:val="00E55DEC"/>
    <w:rsid w:val="00E57C3F"/>
    <w:rsid w:val="00E60214"/>
    <w:rsid w:val="00E61496"/>
    <w:rsid w:val="00E61D93"/>
    <w:rsid w:val="00E639D5"/>
    <w:rsid w:val="00E672A8"/>
    <w:rsid w:val="00E677D1"/>
    <w:rsid w:val="00E70156"/>
    <w:rsid w:val="00E71283"/>
    <w:rsid w:val="00E7247B"/>
    <w:rsid w:val="00E73A59"/>
    <w:rsid w:val="00E758A4"/>
    <w:rsid w:val="00E76A11"/>
    <w:rsid w:val="00E77593"/>
    <w:rsid w:val="00E7763C"/>
    <w:rsid w:val="00E83978"/>
    <w:rsid w:val="00E83F81"/>
    <w:rsid w:val="00E901EB"/>
    <w:rsid w:val="00E95478"/>
    <w:rsid w:val="00E97D63"/>
    <w:rsid w:val="00EC377A"/>
    <w:rsid w:val="00ED0153"/>
    <w:rsid w:val="00ED1D93"/>
    <w:rsid w:val="00ED3466"/>
    <w:rsid w:val="00ED3B47"/>
    <w:rsid w:val="00ED7719"/>
    <w:rsid w:val="00EE146E"/>
    <w:rsid w:val="00EE2F00"/>
    <w:rsid w:val="00EE652D"/>
    <w:rsid w:val="00EE7A53"/>
    <w:rsid w:val="00EE7EC6"/>
    <w:rsid w:val="00EF3A7E"/>
    <w:rsid w:val="00F007D1"/>
    <w:rsid w:val="00F0382F"/>
    <w:rsid w:val="00F126F6"/>
    <w:rsid w:val="00F135BA"/>
    <w:rsid w:val="00F14671"/>
    <w:rsid w:val="00F215DC"/>
    <w:rsid w:val="00F26B4B"/>
    <w:rsid w:val="00F30A9C"/>
    <w:rsid w:val="00F3700C"/>
    <w:rsid w:val="00F377BD"/>
    <w:rsid w:val="00F4309F"/>
    <w:rsid w:val="00F50150"/>
    <w:rsid w:val="00F51789"/>
    <w:rsid w:val="00F544BB"/>
    <w:rsid w:val="00F54F87"/>
    <w:rsid w:val="00F5767B"/>
    <w:rsid w:val="00F61729"/>
    <w:rsid w:val="00F6267C"/>
    <w:rsid w:val="00F637C7"/>
    <w:rsid w:val="00F65AF7"/>
    <w:rsid w:val="00F66A36"/>
    <w:rsid w:val="00F72030"/>
    <w:rsid w:val="00F75DDF"/>
    <w:rsid w:val="00F805C2"/>
    <w:rsid w:val="00F80CBD"/>
    <w:rsid w:val="00F8240F"/>
    <w:rsid w:val="00F851E3"/>
    <w:rsid w:val="00F8674E"/>
    <w:rsid w:val="00F909E5"/>
    <w:rsid w:val="00F91632"/>
    <w:rsid w:val="00F93848"/>
    <w:rsid w:val="00F97F38"/>
    <w:rsid w:val="00FA13BE"/>
    <w:rsid w:val="00FA1E84"/>
    <w:rsid w:val="00FA232A"/>
    <w:rsid w:val="00FB4723"/>
    <w:rsid w:val="00FC22DF"/>
    <w:rsid w:val="00FC3C34"/>
    <w:rsid w:val="00FC67E8"/>
    <w:rsid w:val="00FC6811"/>
    <w:rsid w:val="00FD4790"/>
    <w:rsid w:val="00FD5730"/>
    <w:rsid w:val="00FD677E"/>
    <w:rsid w:val="00FD7E25"/>
    <w:rsid w:val="00FE1189"/>
    <w:rsid w:val="00FE3E78"/>
    <w:rsid w:val="00FE439C"/>
    <w:rsid w:val="00FE6C18"/>
    <w:rsid w:val="00FF1245"/>
    <w:rsid w:val="00FF2963"/>
    <w:rsid w:val="00FF2D56"/>
    <w:rsid w:val="00FF4E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3DB3289B"/>
  <w15:chartTrackingRefBased/>
  <w15:docId w15:val="{9AB92406-2B5E-4A52-A546-82000CB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E61D93"/>
    <w:pPr>
      <w:numPr>
        <w:numId w:val="6"/>
      </w:numPr>
      <w:spacing w:after="240"/>
      <w:outlineLvl w:val="0"/>
    </w:pPr>
    <w:rPr>
      <w:rFonts w:ascii="Trebuchet MS Bold" w:hAnsi="Trebuchet MS Bold"/>
      <w:b/>
      <w:caps/>
      <w:color w:val="218F8B" w:themeColor="accent2"/>
      <w:sz w:val="32"/>
      <w:lang w:val="en-AU"/>
    </w:rPr>
  </w:style>
  <w:style w:type="paragraph" w:styleId="Heading2">
    <w:name w:val="heading 2"/>
    <w:basedOn w:val="Normal"/>
    <w:next w:val="Normal"/>
    <w:link w:val="Heading2Char"/>
    <w:uiPriority w:val="9"/>
    <w:unhideWhenUsed/>
    <w:rsid w:val="00563B55"/>
    <w:pPr>
      <w:keepNext/>
      <w:keepLines/>
      <w:spacing w:before="40" w:after="0"/>
      <w:outlineLvl w:val="1"/>
    </w:pPr>
    <w:rPr>
      <w:rFonts w:asciiTheme="majorHAnsi" w:eastAsiaTheme="majorEastAsia" w:hAnsiTheme="majorHAnsi" w:cstheme="majorBidi"/>
      <w:color w:val="017BA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BDO">
    <w:name w:val="Cover_Heading_BDO"/>
    <w:next w:val="Normal"/>
    <w:qFormat/>
    <w:rsid w:val="00F26B4B"/>
    <w:pPr>
      <w:keepNext/>
      <w:spacing w:before="240" w:after="120" w:line="280" w:lineRule="atLeast"/>
      <w:outlineLvl w:val="1"/>
    </w:pPr>
    <w:rPr>
      <w:rFonts w:ascii="Trebuchet MS" w:eastAsia="Times New Roman" w:hAnsi="Trebuchet MS" w:cs="Times New Roman"/>
      <w:b/>
      <w:color w:val="ED1A3B"/>
      <w:sz w:val="28"/>
      <w:szCs w:val="20"/>
      <w:lang w:val="en-AU"/>
    </w:rPr>
  </w:style>
  <w:style w:type="paragraph" w:styleId="Footer">
    <w:name w:val="footer"/>
    <w:basedOn w:val="Normal"/>
    <w:link w:val="FooterChar"/>
    <w:uiPriority w:val="99"/>
    <w:unhideWhenUsed/>
    <w:rsid w:val="00E672A8"/>
    <w:pPr>
      <w:tabs>
        <w:tab w:val="center" w:pos="4513"/>
        <w:tab w:val="right" w:pos="9026"/>
      </w:tabs>
      <w:spacing w:after="0" w:line="240" w:lineRule="auto"/>
      <w:jc w:val="both"/>
    </w:pPr>
    <w:rPr>
      <w:rFonts w:ascii="Trebuchet MS" w:eastAsia="Times New Roman" w:hAnsi="Trebuchet MS" w:cs="Times New Roman"/>
      <w:color w:val="000000"/>
      <w:sz w:val="20"/>
      <w:szCs w:val="20"/>
      <w:lang w:val="x-none"/>
    </w:rPr>
  </w:style>
  <w:style w:type="character" w:customStyle="1" w:styleId="FooterChar">
    <w:name w:val="Footer Char"/>
    <w:basedOn w:val="DefaultParagraphFont"/>
    <w:link w:val="Footer"/>
    <w:uiPriority w:val="99"/>
    <w:rsid w:val="00E672A8"/>
    <w:rPr>
      <w:rFonts w:ascii="Trebuchet MS" w:eastAsia="Times New Roman" w:hAnsi="Trebuchet MS" w:cs="Times New Roman"/>
      <w:color w:val="000000"/>
      <w:sz w:val="20"/>
      <w:szCs w:val="20"/>
      <w:lang w:val="x-none"/>
    </w:rPr>
  </w:style>
  <w:style w:type="character" w:styleId="Hyperlink">
    <w:name w:val="Hyperlink"/>
    <w:basedOn w:val="DefaultParagraphFont"/>
    <w:uiPriority w:val="99"/>
    <w:unhideWhenUsed/>
    <w:rsid w:val="00E672A8"/>
    <w:rPr>
      <w:color w:val="000000" w:themeColor="hyperlink"/>
      <w:u w:val="single"/>
    </w:rPr>
  </w:style>
  <w:style w:type="paragraph" w:customStyle="1" w:styleId="Text">
    <w:name w:val="Text"/>
    <w:basedOn w:val="Normal"/>
    <w:link w:val="TextChar"/>
    <w:qFormat/>
    <w:rsid w:val="00493AB4"/>
    <w:pPr>
      <w:spacing w:after="120"/>
    </w:pPr>
    <w:rPr>
      <w:rFonts w:ascii="Trebuchet MS" w:hAnsi="Trebuchet MS"/>
      <w:color w:val="404040" w:themeColor="text1"/>
      <w:sz w:val="20"/>
      <w:szCs w:val="20"/>
      <w:lang w:val="en-AU"/>
    </w:rPr>
  </w:style>
  <w:style w:type="character" w:customStyle="1" w:styleId="Heading1Char">
    <w:name w:val="Heading 1 Char"/>
    <w:basedOn w:val="DefaultParagraphFont"/>
    <w:link w:val="Heading1"/>
    <w:uiPriority w:val="9"/>
    <w:rsid w:val="00E61D93"/>
    <w:rPr>
      <w:rFonts w:ascii="Trebuchet MS Bold" w:hAnsi="Trebuchet MS Bold"/>
      <w:b/>
      <w:caps/>
      <w:color w:val="218F8B" w:themeColor="accent2"/>
      <w:sz w:val="32"/>
      <w:lang w:val="en-AU"/>
    </w:rPr>
  </w:style>
  <w:style w:type="character" w:customStyle="1" w:styleId="TextChar">
    <w:name w:val="Text Char"/>
    <w:basedOn w:val="DefaultParagraphFont"/>
    <w:link w:val="Text"/>
    <w:rsid w:val="00493AB4"/>
    <w:rPr>
      <w:rFonts w:ascii="Trebuchet MS" w:hAnsi="Trebuchet MS"/>
      <w:color w:val="404040" w:themeColor="text1"/>
      <w:sz w:val="20"/>
      <w:szCs w:val="20"/>
      <w:lang w:val="en-AU"/>
    </w:rPr>
  </w:style>
  <w:style w:type="paragraph" w:styleId="TOC1">
    <w:name w:val="toc 1"/>
    <w:basedOn w:val="Normal"/>
    <w:next w:val="Normal"/>
    <w:link w:val="TOC1Char"/>
    <w:autoRedefine/>
    <w:uiPriority w:val="39"/>
    <w:unhideWhenUsed/>
    <w:rsid w:val="00E672A8"/>
    <w:pPr>
      <w:spacing w:after="100"/>
    </w:pPr>
  </w:style>
  <w:style w:type="paragraph" w:customStyle="1" w:styleId="TOC">
    <w:name w:val="TOC"/>
    <w:basedOn w:val="TOC1"/>
    <w:link w:val="TOCChar"/>
    <w:qFormat/>
    <w:rsid w:val="006E0632"/>
    <w:pPr>
      <w:tabs>
        <w:tab w:val="left" w:pos="440"/>
        <w:tab w:val="right" w:leader="dot" w:pos="12900"/>
      </w:tabs>
    </w:pPr>
    <w:rPr>
      <w:bCs/>
      <w:noProof/>
      <w:color w:val="404040" w:themeColor="text1"/>
      <w:sz w:val="20"/>
    </w:rPr>
  </w:style>
  <w:style w:type="paragraph" w:customStyle="1" w:styleId="TOCHeadingBDO">
    <w:name w:val="TOC Heading BDO"/>
    <w:basedOn w:val="Text"/>
    <w:link w:val="TOCHeadingBDOChar"/>
    <w:qFormat/>
    <w:rsid w:val="00E61D93"/>
    <w:pPr>
      <w:spacing w:after="240"/>
    </w:pPr>
    <w:rPr>
      <w:rFonts w:ascii="Trebuchet MS Bold" w:hAnsi="Trebuchet MS Bold"/>
      <w:b/>
      <w:caps/>
      <w:color w:val="218F8B" w:themeColor="accent2"/>
      <w:sz w:val="32"/>
    </w:rPr>
  </w:style>
  <w:style w:type="character" w:customStyle="1" w:styleId="TOC1Char">
    <w:name w:val="TOC 1 Char"/>
    <w:basedOn w:val="DefaultParagraphFont"/>
    <w:link w:val="TOC1"/>
    <w:uiPriority w:val="39"/>
    <w:rsid w:val="00E672A8"/>
  </w:style>
  <w:style w:type="character" w:customStyle="1" w:styleId="TOCChar">
    <w:name w:val="TOC Char"/>
    <w:basedOn w:val="TOC1Char"/>
    <w:link w:val="TOC"/>
    <w:rsid w:val="006E0632"/>
    <w:rPr>
      <w:bCs/>
      <w:noProof/>
      <w:color w:val="404040" w:themeColor="text1"/>
      <w:sz w:val="20"/>
    </w:rPr>
  </w:style>
  <w:style w:type="character" w:styleId="Emphasis">
    <w:name w:val="Emphasis"/>
    <w:uiPriority w:val="20"/>
    <w:qFormat/>
    <w:rsid w:val="00493AB4"/>
    <w:rPr>
      <w:rFonts w:ascii="Trebuchet MS" w:hAnsi="Trebuchet MS"/>
      <w:bCs/>
      <w:iCs/>
      <w:color w:val="02A5E2" w:themeColor="accent1"/>
      <w:sz w:val="24"/>
      <w:lang w:val="en-AU"/>
    </w:rPr>
  </w:style>
  <w:style w:type="character" w:customStyle="1" w:styleId="TOCHeadingBDOChar">
    <w:name w:val="TOC Heading BDO Char"/>
    <w:basedOn w:val="TextChar"/>
    <w:link w:val="TOCHeadingBDO"/>
    <w:rsid w:val="00E61D93"/>
    <w:rPr>
      <w:rFonts w:ascii="Trebuchet MS Bold" w:hAnsi="Trebuchet MS Bold"/>
      <w:b/>
      <w:caps/>
      <w:color w:val="218F8B" w:themeColor="accent2"/>
      <w:sz w:val="32"/>
      <w:szCs w:val="20"/>
      <w:lang w:val="en-AU"/>
    </w:rPr>
  </w:style>
  <w:style w:type="paragraph" w:customStyle="1" w:styleId="CoverPageText">
    <w:name w:val="Cover Page Text"/>
    <w:basedOn w:val="Text"/>
    <w:link w:val="CoverPageTextChar"/>
    <w:qFormat/>
    <w:rsid w:val="00364ED5"/>
    <w:pPr>
      <w:spacing w:after="0" w:line="240" w:lineRule="auto"/>
    </w:pPr>
  </w:style>
  <w:style w:type="paragraph" w:customStyle="1" w:styleId="BulletListBDO">
    <w:name w:val="Bullet List BDO"/>
    <w:basedOn w:val="Normal"/>
    <w:link w:val="BulletListBDOChar"/>
    <w:qFormat/>
    <w:rsid w:val="009E5960"/>
    <w:pPr>
      <w:numPr>
        <w:numId w:val="4"/>
      </w:numPr>
      <w:spacing w:after="0" w:line="240" w:lineRule="auto"/>
      <w:ind w:left="419" w:hanging="357"/>
    </w:pPr>
    <w:rPr>
      <w:rFonts w:ascii="Trebuchet MS" w:eastAsia="Times New Roman" w:hAnsi="Trebuchet MS" w:cs="Times New Roman"/>
      <w:color w:val="404040" w:themeColor="text1"/>
      <w:sz w:val="20"/>
      <w:szCs w:val="20"/>
      <w:lang w:val="en-AU" w:eastAsia="en-NZ"/>
    </w:rPr>
  </w:style>
  <w:style w:type="character" w:customStyle="1" w:styleId="CoverPageTextChar">
    <w:name w:val="Cover Page Text Char"/>
    <w:basedOn w:val="TextChar"/>
    <w:link w:val="CoverPageText"/>
    <w:rsid w:val="00364ED5"/>
    <w:rPr>
      <w:rFonts w:ascii="Trebuchet MS" w:hAnsi="Trebuchet MS"/>
      <w:color w:val="404040" w:themeColor="text1"/>
      <w:sz w:val="20"/>
      <w:szCs w:val="20"/>
      <w:lang w:val="en-AU"/>
    </w:rPr>
  </w:style>
  <w:style w:type="table" w:styleId="PlainTable1">
    <w:name w:val="Plain Table 1"/>
    <w:basedOn w:val="TableNormal"/>
    <w:uiPriority w:val="41"/>
    <w:rsid w:val="003169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BDOChar">
    <w:name w:val="Bullet List BDO Char"/>
    <w:basedOn w:val="DefaultParagraphFont"/>
    <w:link w:val="BulletListBDO"/>
    <w:rsid w:val="009E5960"/>
    <w:rPr>
      <w:rFonts w:ascii="Trebuchet MS" w:eastAsia="Times New Roman" w:hAnsi="Trebuchet MS" w:cs="Times New Roman"/>
      <w:color w:val="404040" w:themeColor="text1"/>
      <w:sz w:val="20"/>
      <w:szCs w:val="20"/>
      <w:lang w:val="en-AU" w:eastAsia="en-NZ"/>
    </w:rPr>
  </w:style>
  <w:style w:type="paragraph" w:styleId="Header">
    <w:name w:val="header"/>
    <w:basedOn w:val="Normal"/>
    <w:link w:val="HeaderChar"/>
    <w:uiPriority w:val="99"/>
    <w:unhideWhenUsed/>
    <w:rsid w:val="003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9ED"/>
  </w:style>
  <w:style w:type="table" w:customStyle="1" w:styleId="BoardReportTable">
    <w:name w:val="Board Report Table"/>
    <w:basedOn w:val="TableNormal"/>
    <w:uiPriority w:val="99"/>
    <w:rsid w:val="003169ED"/>
    <w:pPr>
      <w:spacing w:after="0" w:line="240" w:lineRule="auto"/>
    </w:pPr>
    <w:rPr>
      <w:rFonts w:ascii="Trebuchet MS" w:hAnsi="Trebuchet MS"/>
      <w:color w:val="5E4F4A"/>
      <w:sz w:val="20"/>
    </w:rPr>
    <w:tblPr/>
    <w:trPr>
      <w:cantSplit/>
      <w:tblHeader/>
    </w:trPr>
  </w:style>
  <w:style w:type="table" w:styleId="TableGrid">
    <w:name w:val="Table Grid"/>
    <w:basedOn w:val="TableNormal"/>
    <w:uiPriority w:val="39"/>
    <w:rsid w:val="003F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F78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DOBodytext">
    <w:name w:val="BDO_Body text"/>
    <w:uiPriority w:val="99"/>
    <w:rsid w:val="003F7898"/>
    <w:pPr>
      <w:spacing w:after="120" w:line="280" w:lineRule="atLeast"/>
    </w:pPr>
    <w:rPr>
      <w:rFonts w:ascii="Trebuchet MS" w:eastAsia="Times New Roman" w:hAnsi="Trebuchet MS" w:cs="Arial"/>
      <w:color w:val="000000"/>
      <w:sz w:val="20"/>
      <w:szCs w:val="20"/>
      <w:lang w:val="en-AU" w:eastAsia="en-AU"/>
    </w:rPr>
  </w:style>
  <w:style w:type="table" w:customStyle="1" w:styleId="BDOTable">
    <w:name w:val="BDO Table"/>
    <w:basedOn w:val="TableNormal"/>
    <w:uiPriority w:val="99"/>
    <w:qFormat/>
    <w:rsid w:val="003F7898"/>
    <w:pPr>
      <w:spacing w:before="60" w:after="120" w:line="280" w:lineRule="atLeast"/>
    </w:pPr>
    <w:rPr>
      <w:rFonts w:ascii="Trebuchet MS" w:eastAsia="Times New Roman" w:hAnsi="Trebuchet MS" w:cs="Times New Roman"/>
      <w:color w:val="000000"/>
      <w:sz w:val="20"/>
      <w:szCs w:val="20"/>
      <w:lang w:eastAsia="en-NZ"/>
    </w:rPr>
    <w:tblPr>
      <w:tblStyleRowBandSize w:val="1"/>
      <w:tblBorders>
        <w:insideH w:val="single" w:sz="4" w:space="0" w:color="FFFFFF"/>
        <w:insideV w:val="single" w:sz="4" w:space="0" w:color="FFFFFF"/>
      </w:tblBorders>
      <w:tblCellMar>
        <w:bottom w:w="85" w:type="dxa"/>
      </w:tblCellMar>
    </w:tblPr>
    <w:trPr>
      <w:cantSplit/>
    </w:trPr>
    <w:tcPr>
      <w:shd w:val="clear" w:color="auto" w:fill="F4F3F1"/>
    </w:tcPr>
    <w:tblStylePr w:type="firstRow">
      <w:rPr>
        <w:rFonts w:ascii="Trebuchet MS" w:hAnsi="Trebuchet MS"/>
        <w:b/>
        <w:color w:val="FFFFFF"/>
        <w:sz w:val="18"/>
      </w:rPr>
      <w:tblPr/>
      <w:tcPr>
        <w:shd w:val="clear" w:color="auto" w:fill="8EDFFE" w:themeFill="accent1" w:themeFillTint="66"/>
      </w:tcPr>
    </w:tblStylePr>
    <w:tblStylePr w:type="lastRow">
      <w:rPr>
        <w:rFonts w:ascii="Trebuchet MS" w:hAnsi="Trebuchet MS"/>
        <w:color w:val="5E4F4A"/>
        <w:sz w:val="20"/>
      </w:rPr>
    </w:tblStylePr>
    <w:tblStylePr w:type="band1Horz">
      <w:tblPr/>
      <w:tcPr>
        <w:shd w:val="clear" w:color="auto" w:fill="F4F3F1"/>
      </w:tcPr>
    </w:tblStylePr>
    <w:tblStylePr w:type="band2Horz">
      <w:tblPr/>
      <w:tcPr>
        <w:shd w:val="clear" w:color="auto" w:fill="FFFFFF"/>
      </w:tcPr>
    </w:tblStylePr>
    <w:tblStylePr w:type="nwCell">
      <w:rPr>
        <w:rFonts w:ascii="Trebuchet MS" w:hAnsi="Trebuchet MS"/>
        <w:sz w:val="18"/>
      </w:rPr>
    </w:tblStylePr>
  </w:style>
  <w:style w:type="character" w:styleId="CommentReference">
    <w:name w:val="annotation reference"/>
    <w:basedOn w:val="DefaultParagraphFont"/>
    <w:uiPriority w:val="99"/>
    <w:semiHidden/>
    <w:unhideWhenUsed/>
    <w:rsid w:val="003F7898"/>
    <w:rPr>
      <w:sz w:val="16"/>
      <w:szCs w:val="16"/>
    </w:rPr>
  </w:style>
  <w:style w:type="paragraph" w:styleId="CommentText">
    <w:name w:val="annotation text"/>
    <w:basedOn w:val="Normal"/>
    <w:link w:val="CommentTextChar"/>
    <w:uiPriority w:val="99"/>
    <w:semiHidden/>
    <w:unhideWhenUsed/>
    <w:rsid w:val="003F7898"/>
    <w:pPr>
      <w:spacing w:line="240" w:lineRule="auto"/>
    </w:pPr>
    <w:rPr>
      <w:sz w:val="20"/>
      <w:szCs w:val="20"/>
    </w:rPr>
  </w:style>
  <w:style w:type="character" w:customStyle="1" w:styleId="CommentTextChar">
    <w:name w:val="Comment Text Char"/>
    <w:basedOn w:val="DefaultParagraphFont"/>
    <w:link w:val="CommentText"/>
    <w:uiPriority w:val="99"/>
    <w:semiHidden/>
    <w:rsid w:val="003F7898"/>
    <w:rPr>
      <w:sz w:val="20"/>
      <w:szCs w:val="20"/>
    </w:rPr>
  </w:style>
  <w:style w:type="paragraph" w:styleId="CommentSubject">
    <w:name w:val="annotation subject"/>
    <w:basedOn w:val="CommentText"/>
    <w:next w:val="CommentText"/>
    <w:link w:val="CommentSubjectChar"/>
    <w:uiPriority w:val="99"/>
    <w:semiHidden/>
    <w:unhideWhenUsed/>
    <w:rsid w:val="003F7898"/>
    <w:rPr>
      <w:b/>
      <w:bCs/>
    </w:rPr>
  </w:style>
  <w:style w:type="character" w:customStyle="1" w:styleId="CommentSubjectChar">
    <w:name w:val="Comment Subject Char"/>
    <w:basedOn w:val="CommentTextChar"/>
    <w:link w:val="CommentSubject"/>
    <w:uiPriority w:val="99"/>
    <w:semiHidden/>
    <w:rsid w:val="003F7898"/>
    <w:rPr>
      <w:b/>
      <w:bCs/>
      <w:sz w:val="20"/>
      <w:szCs w:val="20"/>
    </w:rPr>
  </w:style>
  <w:style w:type="paragraph" w:styleId="BalloonText">
    <w:name w:val="Balloon Text"/>
    <w:basedOn w:val="Normal"/>
    <w:link w:val="BalloonTextChar"/>
    <w:uiPriority w:val="99"/>
    <w:semiHidden/>
    <w:unhideWhenUsed/>
    <w:rsid w:val="003F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98"/>
    <w:rPr>
      <w:rFonts w:ascii="Segoe UI" w:hAnsi="Segoe UI" w:cs="Segoe UI"/>
      <w:sz w:val="18"/>
      <w:szCs w:val="18"/>
    </w:rPr>
  </w:style>
  <w:style w:type="paragraph" w:customStyle="1" w:styleId="b1">
    <w:name w:val="b1"/>
    <w:basedOn w:val="Normal"/>
    <w:link w:val="b1Char"/>
    <w:uiPriority w:val="5"/>
    <w:qFormat/>
    <w:rsid w:val="00753229"/>
    <w:pPr>
      <w:numPr>
        <w:ilvl w:val="1"/>
        <w:numId w:val="5"/>
      </w:numPr>
      <w:spacing w:after="0" w:line="240" w:lineRule="auto"/>
    </w:pPr>
    <w:rPr>
      <w:rFonts w:ascii="Trebuchet MS" w:eastAsia="Times New Roman" w:hAnsi="Trebuchet MS" w:cs="Times New Roman"/>
      <w:color w:val="786860"/>
      <w:sz w:val="20"/>
      <w:szCs w:val="20"/>
      <w:lang w:val="en-AU" w:eastAsia="x-none"/>
    </w:rPr>
  </w:style>
  <w:style w:type="character" w:customStyle="1" w:styleId="b1Char">
    <w:name w:val="b1 Char"/>
    <w:link w:val="b1"/>
    <w:uiPriority w:val="5"/>
    <w:rsid w:val="00753229"/>
    <w:rPr>
      <w:rFonts w:ascii="Trebuchet MS" w:eastAsia="Times New Roman" w:hAnsi="Trebuchet MS" w:cs="Times New Roman"/>
      <w:color w:val="786860"/>
      <w:sz w:val="20"/>
      <w:szCs w:val="20"/>
      <w:lang w:val="en-AU" w:eastAsia="x-none"/>
    </w:rPr>
  </w:style>
  <w:style w:type="character" w:customStyle="1" w:styleId="Heading2Char">
    <w:name w:val="Heading 2 Char"/>
    <w:basedOn w:val="DefaultParagraphFont"/>
    <w:link w:val="Heading2"/>
    <w:uiPriority w:val="9"/>
    <w:rsid w:val="00563B55"/>
    <w:rPr>
      <w:rFonts w:asciiTheme="majorHAnsi" w:eastAsiaTheme="majorEastAsia" w:hAnsiTheme="majorHAnsi" w:cstheme="majorBidi"/>
      <w:color w:val="017BA9" w:themeColor="accent1" w:themeShade="BF"/>
      <w:sz w:val="26"/>
      <w:szCs w:val="26"/>
    </w:rPr>
  </w:style>
  <w:style w:type="paragraph" w:customStyle="1" w:styleId="HeaderText">
    <w:name w:val="Header Text"/>
    <w:basedOn w:val="Normal"/>
    <w:link w:val="HeaderTextChar"/>
    <w:qFormat/>
    <w:rsid w:val="00364ED5"/>
    <w:pPr>
      <w:spacing w:after="0" w:line="240" w:lineRule="auto"/>
      <w:ind w:right="113"/>
      <w:jc w:val="right"/>
    </w:pPr>
    <w:rPr>
      <w:color w:val="5E4F4A"/>
      <w:sz w:val="18"/>
    </w:rPr>
  </w:style>
  <w:style w:type="paragraph" w:customStyle="1" w:styleId="Heading2Appendix">
    <w:name w:val="Heading 2 (Appendix)"/>
    <w:basedOn w:val="Heading1"/>
    <w:link w:val="Heading2AppendixChar"/>
    <w:qFormat/>
    <w:rsid w:val="008D7545"/>
    <w:pPr>
      <w:numPr>
        <w:numId w:val="0"/>
      </w:numPr>
      <w:ind w:left="720" w:hanging="720"/>
    </w:pPr>
  </w:style>
  <w:style w:type="character" w:customStyle="1" w:styleId="HeaderTextChar">
    <w:name w:val="Header Text Char"/>
    <w:basedOn w:val="DefaultParagraphFont"/>
    <w:link w:val="HeaderText"/>
    <w:rsid w:val="00364ED5"/>
    <w:rPr>
      <w:color w:val="5E4F4A"/>
      <w:sz w:val="18"/>
    </w:rPr>
  </w:style>
  <w:style w:type="character" w:customStyle="1" w:styleId="Heading2AppendixChar">
    <w:name w:val="Heading 2 (Appendix) Char"/>
    <w:basedOn w:val="Heading1Char"/>
    <w:link w:val="Heading2Appendix"/>
    <w:rsid w:val="008D7545"/>
    <w:rPr>
      <w:rFonts w:ascii="Trebuchet MS" w:hAnsi="Trebuchet MS"/>
      <w:b/>
      <w:caps/>
      <w:color w:val="218F8B" w:themeColor="accent2"/>
      <w:sz w:val="32"/>
      <w:lang w:val="en-AU"/>
    </w:rPr>
  </w:style>
  <w:style w:type="paragraph" w:customStyle="1" w:styleId="FrontPageText">
    <w:name w:val="Front Page Text"/>
    <w:basedOn w:val="Normal"/>
    <w:link w:val="FrontPageTextChar"/>
    <w:qFormat/>
    <w:rsid w:val="00DC176C"/>
    <w:rPr>
      <w:b/>
      <w:color w:val="FFFFFF" w:themeColor="background1"/>
      <w:sz w:val="148"/>
      <w:szCs w:val="148"/>
    </w:rPr>
  </w:style>
  <w:style w:type="character" w:customStyle="1" w:styleId="FrontPageTextChar">
    <w:name w:val="Front Page Text Char"/>
    <w:basedOn w:val="DefaultParagraphFont"/>
    <w:link w:val="FrontPageText"/>
    <w:rsid w:val="00DC176C"/>
    <w:rPr>
      <w:b/>
      <w:color w:val="FFFFFF" w:themeColor="background1"/>
      <w:sz w:val="148"/>
      <w:szCs w:val="148"/>
    </w:rPr>
  </w:style>
  <w:style w:type="paragraph" w:customStyle="1" w:styleId="TableSubheading">
    <w:name w:val="Table Subheading"/>
    <w:basedOn w:val="Text"/>
    <w:link w:val="TableSubheadingChar"/>
    <w:qFormat/>
    <w:rsid w:val="00184615"/>
    <w:pPr>
      <w:spacing w:before="60" w:line="280" w:lineRule="atLeast"/>
    </w:pPr>
    <w:rPr>
      <w:rFonts w:eastAsia="Times New Roman" w:cs="Times New Roman"/>
      <w:color w:val="FFFFFF" w:themeColor="background1"/>
      <w:sz w:val="24"/>
      <w:lang w:eastAsia="en-NZ"/>
    </w:rPr>
  </w:style>
  <w:style w:type="table" w:customStyle="1" w:styleId="BDOTableStyle">
    <w:name w:val="BDO Table Style"/>
    <w:basedOn w:val="TableNormal"/>
    <w:uiPriority w:val="99"/>
    <w:rsid w:val="00184615"/>
    <w:pPr>
      <w:spacing w:after="0" w:line="240" w:lineRule="auto"/>
    </w:pPr>
    <w:tblPr>
      <w:tblStyleRowBandSize w:val="1"/>
      <w:tblBorders>
        <w:top w:val="single" w:sz="4" w:space="0" w:color="404040" w:themeColor="text1"/>
        <w:bottom w:val="single" w:sz="4" w:space="0" w:color="404040" w:themeColor="text1"/>
        <w:insideH w:val="single" w:sz="4" w:space="0" w:color="404040" w:themeColor="text1"/>
      </w:tblBorders>
    </w:tblPr>
    <w:tblStylePr w:type="firstRow">
      <w:rPr>
        <w:rFonts w:asciiTheme="minorHAnsi" w:hAnsiTheme="minorHAnsi"/>
        <w:color w:val="FFFFFF" w:themeColor="background1"/>
        <w:sz w:val="24"/>
      </w:rPr>
      <w:tblPr/>
      <w:tcPr>
        <w:shd w:val="clear" w:color="auto" w:fill="404040" w:themeFill="text1"/>
      </w:tcPr>
    </w:tblStylePr>
    <w:tblStylePr w:type="band1Horz">
      <w:pPr>
        <w:jc w:val="left"/>
      </w:pPr>
      <w:rPr>
        <w:color w:val="FFFFFF" w:themeColor="background1"/>
      </w:rPr>
      <w:tblPr/>
      <w:tcPr>
        <w:shd w:val="clear" w:color="auto" w:fill="657C91" w:themeFill="accent5"/>
      </w:tcPr>
    </w:tblStylePr>
  </w:style>
  <w:style w:type="character" w:customStyle="1" w:styleId="TableSubheadingChar">
    <w:name w:val="Table Subheading Char"/>
    <w:basedOn w:val="TextChar"/>
    <w:link w:val="TableSubheading"/>
    <w:rsid w:val="00184615"/>
    <w:rPr>
      <w:rFonts w:ascii="Trebuchet MS" w:eastAsia="Times New Roman" w:hAnsi="Trebuchet MS" w:cs="Times New Roman"/>
      <w:color w:val="FFFFFF" w:themeColor="background1"/>
      <w:sz w:val="24"/>
      <w:szCs w:val="20"/>
      <w:lang w:val="en-AU" w:eastAsia="en-NZ"/>
    </w:rPr>
  </w:style>
  <w:style w:type="paragraph" w:styleId="TOC9">
    <w:name w:val="toc 9"/>
    <w:basedOn w:val="TOC"/>
    <w:next w:val="Normal"/>
    <w:autoRedefine/>
    <w:uiPriority w:val="39"/>
    <w:semiHidden/>
    <w:unhideWhenUsed/>
    <w:rsid w:val="008A78C9"/>
    <w:pPr>
      <w:tabs>
        <w:tab w:val="clear" w:pos="440"/>
        <w:tab w:val="left" w:pos="1134"/>
      </w:tabs>
      <w:ind w:left="1760"/>
    </w:pPr>
  </w:style>
  <w:style w:type="paragraph" w:customStyle="1" w:styleId="BDOHeading1">
    <w:name w:val="BDO_Heading 1"/>
    <w:next w:val="BDOBodytext"/>
    <w:link w:val="BDOHeading1Char"/>
    <w:qFormat/>
    <w:rsid w:val="00726175"/>
    <w:pPr>
      <w:keepNext/>
      <w:spacing w:before="240" w:after="120" w:line="280" w:lineRule="atLeast"/>
      <w:outlineLvl w:val="1"/>
    </w:pPr>
    <w:rPr>
      <w:rFonts w:ascii="Trebuchet MS Bold" w:eastAsia="Times New Roman" w:hAnsi="Trebuchet MS Bold" w:cs="Times New Roman"/>
      <w:b/>
      <w:caps/>
      <w:color w:val="2EB0A4"/>
      <w:sz w:val="32"/>
      <w:szCs w:val="20"/>
      <w:lang w:val="en-AU"/>
    </w:rPr>
  </w:style>
  <w:style w:type="character" w:customStyle="1" w:styleId="BDOHeading1Char">
    <w:name w:val="BDO_Heading 1 Char"/>
    <w:link w:val="BDOHeading1"/>
    <w:rsid w:val="00726175"/>
    <w:rPr>
      <w:rFonts w:ascii="Trebuchet MS Bold" w:eastAsia="Times New Roman" w:hAnsi="Trebuchet MS Bold" w:cs="Times New Roman"/>
      <w:b/>
      <w:caps/>
      <w:color w:val="2EB0A4"/>
      <w:sz w:val="32"/>
      <w:szCs w:val="20"/>
      <w:lang w:val="en-AU"/>
    </w:rPr>
  </w:style>
  <w:style w:type="character" w:styleId="FollowedHyperlink">
    <w:name w:val="FollowedHyperlink"/>
    <w:basedOn w:val="DefaultParagraphFont"/>
    <w:uiPriority w:val="99"/>
    <w:semiHidden/>
    <w:unhideWhenUsed/>
    <w:rsid w:val="00F0382F"/>
    <w:rPr>
      <w:color w:val="2626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oag.govt.nz/2016/refl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DO Default Theme">
  <a:themeElements>
    <a:clrScheme name="BDO">
      <a:dk1>
        <a:srgbClr val="404040"/>
      </a:dk1>
      <a:lt1>
        <a:sysClr val="window" lastClr="FFFFFF"/>
      </a:lt1>
      <a:dk2>
        <a:srgbClr val="ED1A3B"/>
      </a:dk2>
      <a:lt2>
        <a:srgbClr val="E7E7E7"/>
      </a:lt2>
      <a:accent1>
        <a:srgbClr val="02A5E2"/>
      </a:accent1>
      <a:accent2>
        <a:srgbClr val="218F8B"/>
      </a:accent2>
      <a:accent3>
        <a:srgbClr val="DF8639"/>
      </a:accent3>
      <a:accent4>
        <a:srgbClr val="ED1A3B"/>
      </a:accent4>
      <a:accent5>
        <a:srgbClr val="657C91"/>
      </a:accent5>
      <a:accent6>
        <a:srgbClr val="98002E"/>
      </a:accent6>
      <a:hlink>
        <a:srgbClr val="000000"/>
      </a:hlink>
      <a:folHlink>
        <a:srgbClr val="262626"/>
      </a:folHlink>
    </a:clrScheme>
    <a:fontScheme name="BDO - Trebuchet MS">
      <a:majorFont>
        <a:latin typeface="Trebuchet MS"/>
        <a:ea typeface=""/>
        <a:cs typeface=""/>
      </a:majorFont>
      <a:minorFont>
        <a:latin typeface="Trebuchet M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C50574407D242B542581CA918423E" ma:contentTypeVersion="34" ma:contentTypeDescription="Create a new document." ma:contentTypeScope="" ma:versionID="21cf57533ac5414dbabdb7763348a5a8">
  <xsd:schema xmlns:xsd="http://www.w3.org/2001/XMLSchema" xmlns:xs="http://www.w3.org/2001/XMLSchema" xmlns:p="http://schemas.microsoft.com/office/2006/metadata/properties" xmlns:ns3="f9f01b59-49dc-492d-b7b1-290aadde762c" xmlns:ns4="a4ce46fc-5853-4599-92bc-770de8349712" targetNamespace="http://schemas.microsoft.com/office/2006/metadata/properties" ma:root="true" ma:fieldsID="c0eced337474190b7f7d7020a4e97abb" ns3:_="" ns4:_="">
    <xsd:import namespace="f9f01b59-49dc-492d-b7b1-290aadde762c"/>
    <xsd:import namespace="a4ce46fc-5853-4599-92bc-770de8349712"/>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Student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CultureName" minOccurs="0"/>
                <xsd:element ref="ns3:TeamsChannelId" minOccurs="0"/>
                <xsd:element ref="ns3:Math_Settings" minOccurs="0"/>
                <xsd:element ref="ns3:Template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01b59-49dc-492d-b7b1-290aadde762c"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3" nillable="true" ma:displayName="StudentGroups" ma:internalName="Student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e46fc-5853-4599-92bc-770de834971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9f01b59-49dc-492d-b7b1-290aadde762c" xsi:nil="true"/>
    <StudentGroups xmlns="f9f01b59-49dc-492d-b7b1-290aadde762c" xsi:nil="true"/>
    <Has_Teacher_Only_SectionGroup xmlns="f9f01b59-49dc-492d-b7b1-290aadde762c" xsi:nil="true"/>
    <Invited_Teachers xmlns="f9f01b59-49dc-492d-b7b1-290aadde762c" xsi:nil="true"/>
    <FolderType xmlns="f9f01b59-49dc-492d-b7b1-290aadde762c" xsi:nil="true"/>
    <Distribution_Groups xmlns="f9f01b59-49dc-492d-b7b1-290aadde762c" xsi:nil="true"/>
    <Templates xmlns="f9f01b59-49dc-492d-b7b1-290aadde762c" xsi:nil="true"/>
    <Self_Registration_Enabled xmlns="f9f01b59-49dc-492d-b7b1-290aadde762c" xsi:nil="true"/>
    <Is_Collaboration_Space_Locked xmlns="f9f01b59-49dc-492d-b7b1-290aadde762c" xsi:nil="true"/>
    <LMS_Mappings xmlns="f9f01b59-49dc-492d-b7b1-290aadde762c" xsi:nil="true"/>
    <CultureName xmlns="f9f01b59-49dc-492d-b7b1-290aadde762c" xsi:nil="true"/>
    <DefaultSectionNames xmlns="f9f01b59-49dc-492d-b7b1-290aadde762c" xsi:nil="true"/>
    <Invited_Students xmlns="f9f01b59-49dc-492d-b7b1-290aadde762c" xsi:nil="true"/>
    <IsNotebookLocked xmlns="f9f01b59-49dc-492d-b7b1-290aadde762c" xsi:nil="true"/>
    <Teachers xmlns="f9f01b59-49dc-492d-b7b1-290aadde762c">
      <UserInfo>
        <DisplayName/>
        <AccountId xsi:nil="true"/>
        <AccountType/>
      </UserInfo>
    </Teachers>
    <Students xmlns="f9f01b59-49dc-492d-b7b1-290aadde762c">
      <UserInfo>
        <DisplayName/>
        <AccountId xsi:nil="true"/>
        <AccountType/>
      </UserInfo>
    </Students>
    <AppVersion xmlns="f9f01b59-49dc-492d-b7b1-290aadde762c" xsi:nil="true"/>
    <TeamsChannelId xmlns="f9f01b59-49dc-492d-b7b1-290aadde762c" xsi:nil="true"/>
    <Owner xmlns="f9f01b59-49dc-492d-b7b1-290aadde762c">
      <UserInfo>
        <DisplayName/>
        <AccountId xsi:nil="true"/>
        <AccountType/>
      </UserInfo>
    </Owner>
    <Student_Groups xmlns="f9f01b59-49dc-492d-b7b1-290aadde762c">
      <UserInfo>
        <DisplayName/>
        <AccountId xsi:nil="true"/>
        <AccountType/>
      </UserInfo>
    </Student_Groups>
    <Math_Settings xmlns="f9f01b59-49dc-492d-b7b1-290aadde76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D2DE-C327-4D18-B61C-03C88927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01b59-49dc-492d-b7b1-290aadde762c"/>
    <ds:schemaRef ds:uri="a4ce46fc-5853-4599-92bc-770de834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92159-0761-4763-A8AA-58CBC239B0B8}">
  <ds:schemaRefs>
    <ds:schemaRef ds:uri="http://schemas.microsoft.com/sharepoint/v3/contenttype/forms"/>
  </ds:schemaRefs>
</ds:datastoreItem>
</file>

<file path=customXml/itemProps3.xml><?xml version="1.0" encoding="utf-8"?>
<ds:datastoreItem xmlns:ds="http://schemas.openxmlformats.org/officeDocument/2006/customXml" ds:itemID="{8BAFEA88-3FD7-4E70-AE67-E206F1A16A19}">
  <ds:schemaRefs>
    <ds:schemaRef ds:uri="http://schemas.microsoft.com/office/2006/metadata/properties"/>
    <ds:schemaRef ds:uri="http://schemas.microsoft.com/office/infopath/2007/PartnerControls"/>
    <ds:schemaRef ds:uri="f9f01b59-49dc-492d-b7b1-290aadde762c"/>
  </ds:schemaRefs>
</ds:datastoreItem>
</file>

<file path=customXml/itemProps4.xml><?xml version="1.0" encoding="utf-8"?>
<ds:datastoreItem xmlns:ds="http://schemas.openxmlformats.org/officeDocument/2006/customXml" ds:itemID="{10B18366-D338-4351-992B-8D09920C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2736</Words>
  <Characters>15601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Facey</dc:creator>
  <cp:keywords/>
  <dc:description/>
  <cp:lastModifiedBy>Melanie Dean</cp:lastModifiedBy>
  <cp:revision>2</cp:revision>
  <cp:lastPrinted>2017-11-02T03:35:00Z</cp:lastPrinted>
  <dcterms:created xsi:type="dcterms:W3CDTF">2020-05-28T19:43:00Z</dcterms:created>
  <dcterms:modified xsi:type="dcterms:W3CDTF">2020-05-28T19:43:00Z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0x0101001ECC50574407D242B542581CA918423E</vt:lpwstr>
  </property>
</Properties>
</file>